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86" w:rsidRDefault="00CF4386" w:rsidP="00CF4386">
      <w:pPr>
        <w:pStyle w:val="Default"/>
        <w:rPr>
          <w:rFonts w:cstheme="minorBidi"/>
          <w:color w:val="auto"/>
        </w:rPr>
      </w:pPr>
    </w:p>
    <w:p w:rsidR="00CF4386" w:rsidRPr="009D7F4A" w:rsidRDefault="00CF4386" w:rsidP="00CF4386">
      <w:pPr>
        <w:pStyle w:val="Default"/>
        <w:jc w:val="center"/>
        <w:rPr>
          <w:rFonts w:ascii="Times New Roman" w:hAnsi="Times New Roman" w:cs="Times New Roman"/>
          <w:i/>
          <w:color w:val="auto"/>
          <w:sz w:val="22"/>
          <w:szCs w:val="22"/>
        </w:rPr>
      </w:pPr>
      <w:r w:rsidRPr="009D7F4A">
        <w:rPr>
          <w:rFonts w:ascii="Times New Roman" w:hAnsi="Times New Roman" w:cs="Times New Roman"/>
          <w:b/>
          <w:bCs/>
          <w:i/>
          <w:color w:val="auto"/>
          <w:sz w:val="22"/>
          <w:szCs w:val="22"/>
        </w:rPr>
        <w:t>REFLEXIÓN Y CRITERIO</w:t>
      </w:r>
    </w:p>
    <w:p w:rsidR="00CF4386" w:rsidRDefault="00CF4386" w:rsidP="00CF4386">
      <w:pPr>
        <w:jc w:val="center"/>
        <w:rPr>
          <w:rFonts w:ascii="Times New Roman" w:hAnsi="Times New Roman" w:cs="Times New Roman"/>
          <w:b/>
          <w:sz w:val="24"/>
          <w:szCs w:val="24"/>
        </w:rPr>
      </w:pPr>
    </w:p>
    <w:p w:rsidR="00CF4386" w:rsidRPr="00F30D19" w:rsidRDefault="00CF4386" w:rsidP="00CF4386">
      <w:pPr>
        <w:jc w:val="center"/>
        <w:rPr>
          <w:rFonts w:ascii="Times New Roman" w:hAnsi="Times New Roman" w:cs="Times New Roman"/>
          <w:b/>
          <w:sz w:val="28"/>
          <w:szCs w:val="28"/>
        </w:rPr>
      </w:pPr>
      <w:r w:rsidRPr="00F30D19">
        <w:rPr>
          <w:rFonts w:ascii="Times New Roman" w:hAnsi="Times New Roman" w:cs="Times New Roman"/>
          <w:b/>
          <w:sz w:val="28"/>
          <w:szCs w:val="28"/>
        </w:rPr>
        <w:t>ANALISIS DE LA INICIATIVA DE LEY 5074 (Ley de Competencia)</w:t>
      </w:r>
    </w:p>
    <w:p w:rsidR="00CF4386" w:rsidRPr="00EE5407" w:rsidRDefault="00CF4386" w:rsidP="00CF4386">
      <w:pPr>
        <w:jc w:val="both"/>
        <w:rPr>
          <w:rFonts w:ascii="Times New Roman" w:hAnsi="Times New Roman" w:cs="Times New Roman"/>
          <w:b/>
          <w:sz w:val="24"/>
          <w:szCs w:val="24"/>
        </w:rPr>
      </w:pPr>
      <w:r w:rsidRPr="00EE5407">
        <w:rPr>
          <w:rFonts w:ascii="Times New Roman" w:hAnsi="Times New Roman" w:cs="Times New Roman"/>
          <w:b/>
          <w:sz w:val="24"/>
          <w:szCs w:val="24"/>
        </w:rPr>
        <w:t xml:space="preserve">Introducción: La necesidad de contar con una </w:t>
      </w:r>
      <w:r>
        <w:rPr>
          <w:rFonts w:ascii="Times New Roman" w:hAnsi="Times New Roman" w:cs="Times New Roman"/>
          <w:b/>
          <w:sz w:val="24"/>
          <w:szCs w:val="24"/>
        </w:rPr>
        <w:t>L</w:t>
      </w:r>
      <w:r w:rsidRPr="00EE5407">
        <w:rPr>
          <w:rFonts w:ascii="Times New Roman" w:hAnsi="Times New Roman" w:cs="Times New Roman"/>
          <w:b/>
          <w:sz w:val="24"/>
          <w:szCs w:val="24"/>
        </w:rPr>
        <w:t xml:space="preserve">ey de </w:t>
      </w:r>
      <w:r>
        <w:rPr>
          <w:rFonts w:ascii="Times New Roman" w:hAnsi="Times New Roman" w:cs="Times New Roman"/>
          <w:b/>
          <w:sz w:val="24"/>
          <w:szCs w:val="24"/>
        </w:rPr>
        <w:t>C</w:t>
      </w:r>
      <w:r w:rsidRPr="00EE5407">
        <w:rPr>
          <w:rFonts w:ascii="Times New Roman" w:hAnsi="Times New Roman" w:cs="Times New Roman"/>
          <w:b/>
          <w:sz w:val="24"/>
          <w:szCs w:val="24"/>
        </w:rPr>
        <w:t xml:space="preserve">ompetencia: </w:t>
      </w:r>
    </w:p>
    <w:p w:rsidR="00CF4386" w:rsidRPr="00B75CD1" w:rsidRDefault="00CF4386" w:rsidP="00CF4386">
      <w:pPr>
        <w:jc w:val="both"/>
        <w:rPr>
          <w:rFonts w:ascii="Times New Roman" w:hAnsi="Times New Roman" w:cs="Times New Roman"/>
          <w:sz w:val="24"/>
          <w:szCs w:val="24"/>
        </w:rPr>
      </w:pPr>
      <w:r w:rsidRPr="00B75CD1">
        <w:rPr>
          <w:rFonts w:ascii="Times New Roman" w:hAnsi="Times New Roman" w:cs="Times New Roman"/>
          <w:sz w:val="24"/>
          <w:szCs w:val="24"/>
        </w:rPr>
        <w:t xml:space="preserve">Guatemala requiere de una </w:t>
      </w:r>
      <w:r>
        <w:rPr>
          <w:rFonts w:ascii="Times New Roman" w:hAnsi="Times New Roman" w:cs="Times New Roman"/>
          <w:sz w:val="24"/>
          <w:szCs w:val="24"/>
        </w:rPr>
        <w:t>L</w:t>
      </w:r>
      <w:r w:rsidRPr="00B75CD1">
        <w:rPr>
          <w:rFonts w:ascii="Times New Roman" w:hAnsi="Times New Roman" w:cs="Times New Roman"/>
          <w:sz w:val="24"/>
          <w:szCs w:val="24"/>
        </w:rPr>
        <w:t xml:space="preserve">ey de </w:t>
      </w:r>
      <w:r>
        <w:rPr>
          <w:rFonts w:ascii="Times New Roman" w:hAnsi="Times New Roman" w:cs="Times New Roman"/>
          <w:sz w:val="24"/>
          <w:szCs w:val="24"/>
        </w:rPr>
        <w:t>C</w:t>
      </w:r>
      <w:r w:rsidRPr="00B75CD1">
        <w:rPr>
          <w:rFonts w:ascii="Times New Roman" w:hAnsi="Times New Roman" w:cs="Times New Roman"/>
          <w:sz w:val="24"/>
          <w:szCs w:val="24"/>
        </w:rPr>
        <w:t>ompetencia que coadyuve al bien común. Con el fin de alcanzar una competencia sana</w:t>
      </w:r>
      <w:r>
        <w:rPr>
          <w:rFonts w:ascii="Times New Roman" w:hAnsi="Times New Roman" w:cs="Times New Roman"/>
          <w:sz w:val="24"/>
          <w:szCs w:val="24"/>
        </w:rPr>
        <w:t>,</w:t>
      </w:r>
      <w:r w:rsidRPr="00B75CD1">
        <w:rPr>
          <w:rFonts w:ascii="Times New Roman" w:hAnsi="Times New Roman" w:cs="Times New Roman"/>
          <w:sz w:val="24"/>
          <w:szCs w:val="24"/>
        </w:rPr>
        <w:t xml:space="preserve"> que contribuya al bienestar de la sociedad, la mayoría de los países cuentan con una legislación específica en </w:t>
      </w:r>
      <w:r>
        <w:rPr>
          <w:rFonts w:ascii="Times New Roman" w:hAnsi="Times New Roman" w:cs="Times New Roman"/>
          <w:sz w:val="24"/>
          <w:szCs w:val="24"/>
        </w:rPr>
        <w:t>la materia</w:t>
      </w:r>
      <w:r w:rsidRPr="00B75CD1">
        <w:rPr>
          <w:rFonts w:ascii="Times New Roman" w:hAnsi="Times New Roman" w:cs="Times New Roman"/>
          <w:sz w:val="24"/>
          <w:szCs w:val="24"/>
        </w:rPr>
        <w:t>. Un denominador común de la misma</w:t>
      </w:r>
      <w:r>
        <w:rPr>
          <w:rFonts w:ascii="Times New Roman" w:hAnsi="Times New Roman" w:cs="Times New Roman"/>
          <w:sz w:val="24"/>
          <w:szCs w:val="24"/>
        </w:rPr>
        <w:t>,</w:t>
      </w:r>
      <w:r w:rsidRPr="00B75CD1">
        <w:rPr>
          <w:rFonts w:ascii="Times New Roman" w:hAnsi="Times New Roman" w:cs="Times New Roman"/>
          <w:sz w:val="24"/>
          <w:szCs w:val="24"/>
        </w:rPr>
        <w:t xml:space="preserve"> es el objetivo de proteger la libertad </w:t>
      </w:r>
      <w:r>
        <w:rPr>
          <w:rFonts w:ascii="Times New Roman" w:hAnsi="Times New Roman" w:cs="Times New Roman"/>
          <w:sz w:val="24"/>
          <w:szCs w:val="24"/>
        </w:rPr>
        <w:t xml:space="preserve">efectiva </w:t>
      </w:r>
      <w:r w:rsidRPr="00B75CD1">
        <w:rPr>
          <w:rFonts w:ascii="Times New Roman" w:hAnsi="Times New Roman" w:cs="Times New Roman"/>
          <w:sz w:val="24"/>
          <w:szCs w:val="24"/>
        </w:rPr>
        <w:t>de los mercados.</w:t>
      </w:r>
    </w:p>
    <w:p w:rsidR="00CF4386" w:rsidRPr="00B75CD1" w:rsidRDefault="00CF4386" w:rsidP="00CF4386">
      <w:pPr>
        <w:pStyle w:val="Cuerpodetexto"/>
        <w:jc w:val="both"/>
        <w:rPr>
          <w:rFonts w:ascii="Times New Roman" w:eastAsiaTheme="minorHAnsi" w:hAnsi="Times New Roman" w:cs="Times New Roman"/>
          <w:lang w:eastAsia="en-US" w:bidi="ar-SA"/>
        </w:rPr>
      </w:pPr>
      <w:r w:rsidRPr="00B75CD1">
        <w:rPr>
          <w:rFonts w:ascii="Times New Roman" w:eastAsiaTheme="minorHAnsi" w:hAnsi="Times New Roman" w:cs="Times New Roman"/>
          <w:lang w:eastAsia="en-US" w:bidi="ar-SA"/>
        </w:rPr>
        <w:t xml:space="preserve">Guatemala ha sido una excepción en América Latina al no contar </w:t>
      </w:r>
      <w:r>
        <w:rPr>
          <w:rFonts w:ascii="Times New Roman" w:eastAsiaTheme="minorHAnsi" w:hAnsi="Times New Roman" w:cs="Times New Roman"/>
          <w:lang w:eastAsia="en-US" w:bidi="ar-SA"/>
        </w:rPr>
        <w:t xml:space="preserve">en la actualidad, </w:t>
      </w:r>
      <w:r w:rsidRPr="00B75CD1">
        <w:rPr>
          <w:rFonts w:ascii="Times New Roman" w:eastAsiaTheme="minorHAnsi" w:hAnsi="Times New Roman" w:cs="Times New Roman"/>
          <w:lang w:eastAsia="en-US" w:bidi="ar-SA"/>
        </w:rPr>
        <w:t xml:space="preserve">con una legislación sobre competencia. </w:t>
      </w:r>
      <w:r>
        <w:rPr>
          <w:rFonts w:ascii="Times New Roman" w:eastAsiaTheme="minorHAnsi" w:hAnsi="Times New Roman" w:cs="Times New Roman"/>
          <w:lang w:eastAsia="en-US" w:bidi="ar-SA"/>
        </w:rPr>
        <w:t xml:space="preserve">No obstante, </w:t>
      </w:r>
      <w:r w:rsidRPr="00B75CD1">
        <w:rPr>
          <w:rFonts w:ascii="Times New Roman" w:eastAsiaTheme="minorHAnsi" w:hAnsi="Times New Roman" w:cs="Times New Roman"/>
          <w:lang w:eastAsia="en-US" w:bidi="ar-SA"/>
        </w:rPr>
        <w:t xml:space="preserve">desde el punto de vista constitucional, por razones del funcionamiento de una economía competitiva, desde la perspectiva de los Derechos Humanos -en particular de los Derechos Económicos, Sociales y Culturales-  y ahora por exigencias internacionales,  se requiere promover una ley </w:t>
      </w:r>
      <w:r>
        <w:rPr>
          <w:rFonts w:ascii="Times New Roman" w:eastAsiaTheme="minorHAnsi" w:hAnsi="Times New Roman" w:cs="Times New Roman"/>
          <w:lang w:eastAsia="en-US" w:bidi="ar-SA"/>
        </w:rPr>
        <w:t xml:space="preserve">en tal sentido. </w:t>
      </w:r>
      <w:r w:rsidRPr="00B75CD1">
        <w:rPr>
          <w:rFonts w:ascii="Times New Roman" w:eastAsiaTheme="minorHAnsi" w:hAnsi="Times New Roman" w:cs="Times New Roman"/>
          <w:lang w:eastAsia="en-US" w:bidi="ar-SA"/>
        </w:rPr>
        <w:t xml:space="preserve"> </w:t>
      </w:r>
    </w:p>
    <w:p w:rsidR="00CF4386" w:rsidRPr="00B75CD1" w:rsidRDefault="00CF4386" w:rsidP="00CF4386">
      <w:pPr>
        <w:pStyle w:val="Cuerpodetexto"/>
        <w:jc w:val="both"/>
        <w:rPr>
          <w:rFonts w:ascii="Times New Roman" w:eastAsiaTheme="minorHAnsi" w:hAnsi="Times New Roman" w:cs="Times New Roman"/>
          <w:lang w:eastAsia="en-US" w:bidi="ar-SA"/>
        </w:rPr>
      </w:pPr>
      <w:r w:rsidRPr="00B75CD1">
        <w:rPr>
          <w:rFonts w:ascii="Times New Roman" w:eastAsiaTheme="minorHAnsi" w:hAnsi="Times New Roman" w:cs="Times New Roman"/>
          <w:lang w:eastAsia="en-US" w:bidi="ar-SA"/>
        </w:rPr>
        <w:t xml:space="preserve">Según </w:t>
      </w:r>
      <w:r>
        <w:rPr>
          <w:rFonts w:ascii="Times New Roman" w:eastAsiaTheme="minorHAnsi" w:hAnsi="Times New Roman" w:cs="Times New Roman"/>
          <w:lang w:eastAsia="en-US" w:bidi="ar-SA"/>
        </w:rPr>
        <w:t xml:space="preserve">el artículo primero de </w:t>
      </w:r>
      <w:r w:rsidRPr="00B75CD1">
        <w:rPr>
          <w:rFonts w:ascii="Times New Roman" w:eastAsiaTheme="minorHAnsi" w:hAnsi="Times New Roman" w:cs="Times New Roman"/>
          <w:lang w:eastAsia="en-US" w:bidi="ar-SA"/>
        </w:rPr>
        <w:t xml:space="preserve">la Constitución Política de la República: </w:t>
      </w:r>
      <w:r w:rsidRPr="00B75CD1">
        <w:rPr>
          <w:rFonts w:ascii="Times New Roman" w:eastAsiaTheme="minorHAnsi" w:hAnsi="Times New Roman" w:cs="Times New Roman"/>
          <w:i/>
          <w:lang w:eastAsia="en-US" w:bidi="ar-SA"/>
        </w:rPr>
        <w:t>“El Estado se organiza para proteger a la persona y a la familia; su fin supremo es la realización del bien común”.</w:t>
      </w:r>
      <w:r w:rsidRPr="00B75CD1">
        <w:rPr>
          <w:rFonts w:ascii="Times New Roman" w:eastAsiaTheme="minorHAnsi" w:hAnsi="Times New Roman" w:cs="Times New Roman"/>
          <w:lang w:eastAsia="en-US" w:bidi="ar-SA"/>
        </w:rPr>
        <w:t xml:space="preserve"> Específicamente en el artículo 130 de la misma, se establece que </w:t>
      </w:r>
      <w:r w:rsidRPr="00230FF6">
        <w:rPr>
          <w:rFonts w:ascii="Times New Roman" w:eastAsiaTheme="minorHAnsi" w:hAnsi="Times New Roman" w:cs="Times New Roman"/>
          <w:i/>
          <w:lang w:eastAsia="en-US" w:bidi="ar-SA"/>
        </w:rPr>
        <w:t>“Se</w:t>
      </w:r>
      <w:r w:rsidRPr="00B75CD1">
        <w:rPr>
          <w:rFonts w:ascii="Times New Roman" w:eastAsiaTheme="minorHAnsi" w:hAnsi="Times New Roman" w:cs="Times New Roman"/>
          <w:i/>
          <w:lang w:eastAsia="en-US" w:bidi="ar-SA"/>
        </w:rPr>
        <w:t xml:space="preserve"> prohíben los monopolios y privilegios. El Estado limitará el funcionamiento de las empresas que absorban o tiendan a absorber, en perjuicio de la economía nacional, la producción en uno o más ramos industriales o de una misma actividad comercial o agropecuaria. Las leyes determinarán lo relativo a esta materia. El Estado protegerá́ la economía de mercado e impedirá las asociaciones que tiendan a restringir la libertad del mercado o a perjudicar a los consumidores.”</w:t>
      </w:r>
    </w:p>
    <w:p w:rsidR="00CF4386" w:rsidRPr="00B75CD1" w:rsidRDefault="00CF4386" w:rsidP="00CF4386">
      <w:pPr>
        <w:pStyle w:val="Cuerpodetexto"/>
        <w:jc w:val="both"/>
        <w:rPr>
          <w:rFonts w:ascii="Times New Roman" w:eastAsiaTheme="minorHAnsi" w:hAnsi="Times New Roman" w:cs="Times New Roman"/>
          <w:lang w:eastAsia="en-US" w:bidi="ar-SA"/>
        </w:rPr>
      </w:pPr>
      <w:r w:rsidRPr="00B75CD1">
        <w:rPr>
          <w:rFonts w:ascii="Times New Roman" w:eastAsiaTheme="minorHAnsi" w:hAnsi="Times New Roman" w:cs="Times New Roman"/>
          <w:lang w:eastAsia="en-US" w:bidi="ar-SA"/>
        </w:rPr>
        <w:t>Dentro del marco anterior, una ley de libre competencia debe garantizar que todos los agentes y actores del mercado</w:t>
      </w:r>
      <w:r>
        <w:rPr>
          <w:rFonts w:ascii="Times New Roman" w:eastAsiaTheme="minorHAnsi" w:hAnsi="Times New Roman" w:cs="Times New Roman"/>
          <w:lang w:eastAsia="en-US" w:bidi="ar-SA"/>
        </w:rPr>
        <w:t>,</w:t>
      </w:r>
      <w:r w:rsidRPr="00B75CD1">
        <w:rPr>
          <w:rFonts w:ascii="Times New Roman" w:eastAsiaTheme="minorHAnsi" w:hAnsi="Times New Roman" w:cs="Times New Roman"/>
          <w:lang w:eastAsia="en-US" w:bidi="ar-SA"/>
        </w:rPr>
        <w:t xml:space="preserve"> participen en condiciones de igualdad de oportunidades. En igual forma, </w:t>
      </w:r>
      <w:r>
        <w:rPr>
          <w:rFonts w:ascii="Times New Roman" w:eastAsiaTheme="minorHAnsi" w:hAnsi="Times New Roman" w:cs="Times New Roman"/>
          <w:lang w:eastAsia="en-US" w:bidi="ar-SA"/>
        </w:rPr>
        <w:t xml:space="preserve">garantizar </w:t>
      </w:r>
      <w:r w:rsidRPr="00B75CD1">
        <w:rPr>
          <w:rFonts w:ascii="Times New Roman" w:eastAsiaTheme="minorHAnsi" w:hAnsi="Times New Roman" w:cs="Times New Roman"/>
          <w:lang w:eastAsia="en-US" w:bidi="ar-SA"/>
        </w:rPr>
        <w:t>el acceso a insumos productivos, bienes y servicios de consumo final de calidad, a</w:t>
      </w:r>
      <w:r>
        <w:rPr>
          <w:rFonts w:ascii="Times New Roman" w:eastAsiaTheme="minorHAnsi" w:hAnsi="Times New Roman" w:cs="Times New Roman"/>
          <w:lang w:eastAsia="en-US" w:bidi="ar-SA"/>
        </w:rPr>
        <w:t xml:space="preserve">sí como </w:t>
      </w:r>
      <w:r w:rsidRPr="00B75CD1">
        <w:rPr>
          <w:rFonts w:ascii="Times New Roman" w:eastAsiaTheme="minorHAnsi" w:hAnsi="Times New Roman" w:cs="Times New Roman"/>
          <w:lang w:eastAsia="en-US" w:bidi="ar-SA"/>
        </w:rPr>
        <w:t xml:space="preserve">contribuir a una economía y sociedad solidaria, incluyente, plural y sostenible.  </w:t>
      </w:r>
      <w:r>
        <w:rPr>
          <w:rFonts w:ascii="Times New Roman" w:eastAsiaTheme="minorHAnsi" w:hAnsi="Times New Roman" w:cs="Times New Roman"/>
          <w:lang w:eastAsia="en-US" w:bidi="ar-SA"/>
        </w:rPr>
        <w:t xml:space="preserve">Tomando en cuenta </w:t>
      </w:r>
      <w:r w:rsidRPr="00B75CD1">
        <w:rPr>
          <w:rFonts w:ascii="Times New Roman" w:eastAsiaTheme="minorHAnsi" w:hAnsi="Times New Roman" w:cs="Times New Roman"/>
          <w:lang w:eastAsia="en-US" w:bidi="ar-SA"/>
        </w:rPr>
        <w:t xml:space="preserve">lo indicado, se plantean las siguientes: </w:t>
      </w:r>
    </w:p>
    <w:p w:rsidR="00CF4386" w:rsidRPr="00B75CD1" w:rsidRDefault="00CF4386" w:rsidP="00CF4386">
      <w:pPr>
        <w:pStyle w:val="Cuerpodetexto"/>
        <w:numPr>
          <w:ilvl w:val="0"/>
          <w:numId w:val="6"/>
        </w:numPr>
        <w:jc w:val="both"/>
        <w:rPr>
          <w:rFonts w:ascii="Times New Roman" w:hAnsi="Times New Roman" w:cs="Times New Roman"/>
          <w:b/>
        </w:rPr>
      </w:pPr>
      <w:r w:rsidRPr="00B75CD1">
        <w:rPr>
          <w:rFonts w:ascii="Times New Roman" w:eastAsiaTheme="minorHAnsi" w:hAnsi="Times New Roman" w:cs="Times New Roman"/>
          <w:b/>
          <w:lang w:eastAsia="en-US" w:bidi="ar-SA"/>
        </w:rPr>
        <w:t xml:space="preserve">Consideraciones sobre la Iniciativa de </w:t>
      </w:r>
      <w:r>
        <w:rPr>
          <w:rFonts w:ascii="Times New Roman" w:eastAsiaTheme="minorHAnsi" w:hAnsi="Times New Roman" w:cs="Times New Roman"/>
          <w:b/>
          <w:lang w:eastAsia="en-US" w:bidi="ar-SA"/>
        </w:rPr>
        <w:t>L</w:t>
      </w:r>
      <w:r w:rsidRPr="00B75CD1">
        <w:rPr>
          <w:rFonts w:ascii="Times New Roman" w:eastAsiaTheme="minorHAnsi" w:hAnsi="Times New Roman" w:cs="Times New Roman"/>
          <w:b/>
          <w:lang w:eastAsia="en-US" w:bidi="ar-SA"/>
        </w:rPr>
        <w:t xml:space="preserve">ey número 5074 “Ley de Competencia”:  </w:t>
      </w:r>
    </w:p>
    <w:p w:rsidR="00CF4386" w:rsidRDefault="00CF4386" w:rsidP="00CF4386">
      <w:pPr>
        <w:pStyle w:val="Prrafodelista"/>
        <w:numPr>
          <w:ilvl w:val="0"/>
          <w:numId w:val="2"/>
        </w:numPr>
        <w:jc w:val="both"/>
        <w:rPr>
          <w:rFonts w:ascii="Times New Roman" w:hAnsi="Times New Roman" w:cs="Times New Roman"/>
          <w:sz w:val="24"/>
          <w:szCs w:val="24"/>
        </w:rPr>
      </w:pPr>
      <w:r w:rsidRPr="00B75CD1">
        <w:rPr>
          <w:rFonts w:ascii="Times New Roman" w:hAnsi="Times New Roman" w:cs="Times New Roman"/>
          <w:sz w:val="24"/>
          <w:szCs w:val="24"/>
        </w:rPr>
        <w:t>Para lograr un mejor entendimiento de la ley, se propone corregir la secuencia de los títulos a partir del numeral IV.</w:t>
      </w:r>
    </w:p>
    <w:p w:rsidR="00CF4386" w:rsidRPr="00CF4386" w:rsidRDefault="00CF4386" w:rsidP="00CF4386">
      <w:pPr>
        <w:jc w:val="both"/>
        <w:rPr>
          <w:rFonts w:ascii="Times New Roman" w:hAnsi="Times New Roman" w:cs="Times New Roman"/>
          <w:sz w:val="24"/>
          <w:szCs w:val="24"/>
        </w:rPr>
      </w:pPr>
    </w:p>
    <w:p w:rsidR="00CF4386" w:rsidRDefault="00CF4386" w:rsidP="00CF4386">
      <w:pPr>
        <w:pStyle w:val="Prrafodelista"/>
        <w:ind w:left="357"/>
        <w:jc w:val="both"/>
        <w:rPr>
          <w:rFonts w:ascii="Times New Roman" w:hAnsi="Times New Roman" w:cs="Times New Roman"/>
          <w:sz w:val="24"/>
          <w:szCs w:val="24"/>
        </w:rPr>
      </w:pPr>
    </w:p>
    <w:p w:rsidR="00CF4386" w:rsidRPr="001252C9" w:rsidRDefault="00CF4386" w:rsidP="00CF4386">
      <w:pPr>
        <w:pStyle w:val="Prrafodelista"/>
        <w:numPr>
          <w:ilvl w:val="1"/>
          <w:numId w:val="6"/>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1252C9">
        <w:rPr>
          <w:rFonts w:ascii="Times New Roman" w:hAnsi="Times New Roman" w:cs="Times New Roman"/>
          <w:b/>
          <w:sz w:val="24"/>
          <w:szCs w:val="24"/>
        </w:rPr>
        <w:t>Defensa de la libre competencia (artículos del 6 al 15 de la Iniciativa)</w:t>
      </w:r>
    </w:p>
    <w:p w:rsidR="00CF4386" w:rsidRDefault="00CF4386" w:rsidP="00CF4386">
      <w:pPr>
        <w:pStyle w:val="Prrafodelista"/>
        <w:numPr>
          <w:ilvl w:val="0"/>
          <w:numId w:val="2"/>
        </w:numPr>
        <w:jc w:val="both"/>
        <w:rPr>
          <w:rFonts w:ascii="Times New Roman" w:hAnsi="Times New Roman" w:cs="Times New Roman"/>
          <w:sz w:val="24"/>
          <w:szCs w:val="24"/>
        </w:rPr>
      </w:pPr>
      <w:r w:rsidRPr="00B75CD1">
        <w:rPr>
          <w:rFonts w:ascii="Times New Roman" w:hAnsi="Times New Roman" w:cs="Times New Roman"/>
          <w:sz w:val="24"/>
          <w:szCs w:val="24"/>
        </w:rPr>
        <w:t>Esta parte contiene la esencia del espíritu de la ley</w:t>
      </w:r>
      <w:r>
        <w:rPr>
          <w:rFonts w:ascii="Times New Roman" w:hAnsi="Times New Roman" w:cs="Times New Roman"/>
          <w:sz w:val="24"/>
          <w:szCs w:val="24"/>
        </w:rPr>
        <w:t xml:space="preserve">, </w:t>
      </w:r>
      <w:r w:rsidRPr="00B75CD1">
        <w:rPr>
          <w:rFonts w:ascii="Times New Roman" w:hAnsi="Times New Roman" w:cs="Times New Roman"/>
          <w:sz w:val="24"/>
          <w:szCs w:val="24"/>
        </w:rPr>
        <w:t xml:space="preserve"> ya que describe las conductas o prácticas anticompetitivas que deberían estar prohibidas</w:t>
      </w:r>
      <w:r>
        <w:rPr>
          <w:rFonts w:ascii="Times New Roman" w:hAnsi="Times New Roman" w:cs="Times New Roman"/>
          <w:sz w:val="24"/>
          <w:szCs w:val="24"/>
        </w:rPr>
        <w:t xml:space="preserve">. Por </w:t>
      </w:r>
      <w:r w:rsidRPr="00B75CD1">
        <w:rPr>
          <w:rFonts w:ascii="Times New Roman" w:hAnsi="Times New Roman" w:cs="Times New Roman"/>
          <w:sz w:val="24"/>
          <w:szCs w:val="24"/>
        </w:rPr>
        <w:t xml:space="preserve">ello se recomienda </w:t>
      </w:r>
      <w:r>
        <w:rPr>
          <w:rFonts w:ascii="Times New Roman" w:hAnsi="Times New Roman" w:cs="Times New Roman"/>
          <w:sz w:val="24"/>
          <w:szCs w:val="24"/>
        </w:rPr>
        <w:t xml:space="preserve"> la </w:t>
      </w:r>
      <w:r w:rsidRPr="00B75CD1">
        <w:rPr>
          <w:rFonts w:ascii="Times New Roman" w:hAnsi="Times New Roman" w:cs="Times New Roman"/>
          <w:sz w:val="24"/>
          <w:szCs w:val="24"/>
        </w:rPr>
        <w:t xml:space="preserve"> redacción de los artículos que la integran</w:t>
      </w:r>
      <w:r>
        <w:rPr>
          <w:rFonts w:ascii="Times New Roman" w:hAnsi="Times New Roman" w:cs="Times New Roman"/>
          <w:sz w:val="24"/>
          <w:szCs w:val="24"/>
        </w:rPr>
        <w:t>,</w:t>
      </w:r>
      <w:r w:rsidRPr="00B75CD1">
        <w:rPr>
          <w:rFonts w:ascii="Times New Roman" w:hAnsi="Times New Roman" w:cs="Times New Roman"/>
          <w:sz w:val="24"/>
          <w:szCs w:val="24"/>
        </w:rPr>
        <w:t xml:space="preserve">  lo menos compleja posible para que sean de fácil entendimiento e interpretación. Se </w:t>
      </w:r>
      <w:r>
        <w:rPr>
          <w:rFonts w:ascii="Times New Roman" w:hAnsi="Times New Roman" w:cs="Times New Roman"/>
          <w:sz w:val="24"/>
          <w:szCs w:val="24"/>
        </w:rPr>
        <w:t xml:space="preserve">sugiere </w:t>
      </w:r>
      <w:r w:rsidRPr="00B75CD1">
        <w:rPr>
          <w:rFonts w:ascii="Times New Roman" w:hAnsi="Times New Roman" w:cs="Times New Roman"/>
          <w:sz w:val="24"/>
          <w:szCs w:val="24"/>
        </w:rPr>
        <w:t xml:space="preserve">consultar </w:t>
      </w:r>
      <w:r>
        <w:rPr>
          <w:rFonts w:ascii="Times New Roman" w:hAnsi="Times New Roman" w:cs="Times New Roman"/>
          <w:sz w:val="24"/>
          <w:szCs w:val="24"/>
        </w:rPr>
        <w:t xml:space="preserve">la </w:t>
      </w:r>
      <w:r w:rsidRPr="00B75CD1">
        <w:rPr>
          <w:rFonts w:ascii="Times New Roman" w:hAnsi="Times New Roman" w:cs="Times New Roman"/>
          <w:sz w:val="24"/>
          <w:szCs w:val="24"/>
        </w:rPr>
        <w:t>legislación comparada de países vecinos como El Salvador, Honduras, México, Chile y Colombia, que de manera clara y concreta definen las prácticas en contra de la libre competencia sanciona</w:t>
      </w:r>
      <w:r>
        <w:rPr>
          <w:rFonts w:ascii="Times New Roman" w:hAnsi="Times New Roman" w:cs="Times New Roman"/>
          <w:sz w:val="24"/>
          <w:szCs w:val="24"/>
        </w:rPr>
        <w:t>bles</w:t>
      </w:r>
      <w:r w:rsidRPr="00B75CD1">
        <w:rPr>
          <w:rFonts w:ascii="Times New Roman" w:hAnsi="Times New Roman" w:cs="Times New Roman"/>
          <w:sz w:val="24"/>
          <w:szCs w:val="24"/>
        </w:rPr>
        <w:t>, a fin de que todo ciudadano pueda comprenderlas y denunciarlas en los casos que corresponda.</w:t>
      </w:r>
    </w:p>
    <w:p w:rsidR="00CF4386" w:rsidRPr="00B75CD1" w:rsidRDefault="00CF4386" w:rsidP="00CF4386">
      <w:pPr>
        <w:pStyle w:val="Prrafodelista"/>
        <w:jc w:val="both"/>
        <w:rPr>
          <w:rFonts w:ascii="Times New Roman" w:hAnsi="Times New Roman" w:cs="Times New Roman"/>
          <w:sz w:val="24"/>
          <w:szCs w:val="24"/>
        </w:rPr>
      </w:pPr>
    </w:p>
    <w:p w:rsidR="00CF4386" w:rsidRDefault="00CF4386" w:rsidP="00CF4386">
      <w:pPr>
        <w:pStyle w:val="Prrafodelista"/>
        <w:numPr>
          <w:ilvl w:val="0"/>
          <w:numId w:val="2"/>
        </w:numPr>
        <w:jc w:val="both"/>
        <w:rPr>
          <w:rFonts w:ascii="Times New Roman" w:hAnsi="Times New Roman" w:cs="Times New Roman"/>
          <w:sz w:val="24"/>
          <w:szCs w:val="24"/>
        </w:rPr>
      </w:pPr>
      <w:r w:rsidRPr="00B75CD1">
        <w:rPr>
          <w:rFonts w:ascii="Times New Roman" w:hAnsi="Times New Roman" w:cs="Times New Roman"/>
          <w:sz w:val="24"/>
          <w:szCs w:val="24"/>
        </w:rPr>
        <w:t xml:space="preserve">Se </w:t>
      </w:r>
      <w:r>
        <w:rPr>
          <w:rFonts w:ascii="Times New Roman" w:hAnsi="Times New Roman" w:cs="Times New Roman"/>
          <w:sz w:val="24"/>
          <w:szCs w:val="24"/>
        </w:rPr>
        <w:t xml:space="preserve">estima </w:t>
      </w:r>
      <w:r w:rsidRPr="00B75CD1">
        <w:rPr>
          <w:rFonts w:ascii="Times New Roman" w:hAnsi="Times New Roman" w:cs="Times New Roman"/>
          <w:sz w:val="24"/>
          <w:szCs w:val="24"/>
        </w:rPr>
        <w:t>innecesaria la inclusión del artículo 8. Comprobación, debido a que limita la efectividad de la ley</w:t>
      </w:r>
      <w:r>
        <w:rPr>
          <w:rFonts w:ascii="Times New Roman" w:hAnsi="Times New Roman" w:cs="Times New Roman"/>
          <w:sz w:val="24"/>
          <w:szCs w:val="24"/>
        </w:rPr>
        <w:t>,</w:t>
      </w:r>
      <w:r w:rsidRPr="00B75CD1">
        <w:rPr>
          <w:rFonts w:ascii="Times New Roman" w:hAnsi="Times New Roman" w:cs="Times New Roman"/>
          <w:sz w:val="24"/>
          <w:szCs w:val="24"/>
        </w:rPr>
        <w:t xml:space="preserve"> ya que anula la regla </w:t>
      </w:r>
      <w:r w:rsidRPr="00B75CD1">
        <w:rPr>
          <w:rFonts w:ascii="Times New Roman" w:hAnsi="Times New Roman" w:cs="Times New Roman"/>
          <w:i/>
          <w:sz w:val="24"/>
          <w:szCs w:val="24"/>
        </w:rPr>
        <w:t>per se</w:t>
      </w:r>
      <w:r w:rsidRPr="00B75CD1">
        <w:rPr>
          <w:rFonts w:ascii="Times New Roman" w:hAnsi="Times New Roman" w:cs="Times New Roman"/>
          <w:sz w:val="24"/>
          <w:szCs w:val="24"/>
        </w:rPr>
        <w:t xml:space="preserve"> para las prácticas horizontales</w:t>
      </w:r>
      <w:r w:rsidRPr="00B75CD1">
        <w:rPr>
          <w:rStyle w:val="Refdenotaalpie"/>
          <w:rFonts w:ascii="Times New Roman" w:hAnsi="Times New Roman" w:cs="Times New Roman"/>
          <w:sz w:val="24"/>
          <w:szCs w:val="24"/>
        </w:rPr>
        <w:footnoteReference w:id="1"/>
      </w:r>
      <w:r w:rsidRPr="00B75CD1">
        <w:rPr>
          <w:rFonts w:ascii="Times New Roman" w:hAnsi="Times New Roman" w:cs="Times New Roman"/>
          <w:sz w:val="24"/>
          <w:szCs w:val="24"/>
        </w:rPr>
        <w:t xml:space="preserve"> o absolutas. Además, el proceso de comprobación debe formar parte del proceso de investigación normado en el Capítulo IV, y </w:t>
      </w:r>
      <w:r>
        <w:rPr>
          <w:rFonts w:ascii="Times New Roman" w:hAnsi="Times New Roman" w:cs="Times New Roman"/>
          <w:sz w:val="24"/>
          <w:szCs w:val="24"/>
        </w:rPr>
        <w:t xml:space="preserve">en tal sentido, </w:t>
      </w:r>
      <w:r w:rsidRPr="00B75CD1">
        <w:rPr>
          <w:rFonts w:ascii="Times New Roman" w:hAnsi="Times New Roman" w:cs="Times New Roman"/>
          <w:sz w:val="24"/>
          <w:szCs w:val="24"/>
        </w:rPr>
        <w:t>estar a cargo de la Superintendencia de Competencia.</w:t>
      </w:r>
    </w:p>
    <w:p w:rsidR="00CF4386" w:rsidRPr="00057277"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2"/>
        </w:numPr>
        <w:jc w:val="both"/>
        <w:rPr>
          <w:rFonts w:ascii="Times New Roman" w:hAnsi="Times New Roman" w:cs="Times New Roman"/>
          <w:sz w:val="24"/>
          <w:szCs w:val="24"/>
        </w:rPr>
      </w:pPr>
      <w:r w:rsidRPr="00057277">
        <w:rPr>
          <w:rFonts w:ascii="Times New Roman" w:hAnsi="Times New Roman" w:cs="Times New Roman"/>
          <w:sz w:val="24"/>
          <w:szCs w:val="24"/>
        </w:rPr>
        <w:t>Acerca de las prácticas permitidas (</w:t>
      </w:r>
      <w:r>
        <w:rPr>
          <w:rFonts w:ascii="Times New Roman" w:hAnsi="Times New Roman" w:cs="Times New Roman"/>
          <w:sz w:val="24"/>
          <w:szCs w:val="24"/>
        </w:rPr>
        <w:t xml:space="preserve">artículo </w:t>
      </w:r>
      <w:r w:rsidRPr="00057277">
        <w:rPr>
          <w:rFonts w:ascii="Times New Roman" w:hAnsi="Times New Roman" w:cs="Times New Roman"/>
          <w:sz w:val="24"/>
          <w:szCs w:val="24"/>
        </w:rPr>
        <w:t>9) que tengan por objeto la cooperación en investigación y desarrollo de nuevas tecnologías o el intercambio de información técnica, estas sólo deberían ser permitidas en los casos en los que dicha cooperación entre empresas no tenga como efecto el abuso de posición de dominio en el mercado relevante.</w:t>
      </w:r>
    </w:p>
    <w:p w:rsidR="00CF4386" w:rsidRPr="00057277"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2"/>
        </w:numPr>
        <w:jc w:val="both"/>
        <w:rPr>
          <w:rFonts w:ascii="Times New Roman" w:hAnsi="Times New Roman" w:cs="Times New Roman"/>
          <w:sz w:val="24"/>
          <w:szCs w:val="24"/>
        </w:rPr>
      </w:pPr>
      <w:r w:rsidRPr="00B75CD1">
        <w:rPr>
          <w:rFonts w:ascii="Times New Roman" w:hAnsi="Times New Roman" w:cs="Times New Roman"/>
          <w:sz w:val="24"/>
          <w:szCs w:val="24"/>
        </w:rPr>
        <w:t>Sobre la posibilidad de establecer medidas que limiten o impidan el libre acceso o salida del mercado, el establecimiento de controles de precios o tarifas mínimas o máximas de cualquier producto o servicio (</w:t>
      </w:r>
      <w:r>
        <w:rPr>
          <w:rFonts w:ascii="Times New Roman" w:hAnsi="Times New Roman" w:cs="Times New Roman"/>
          <w:sz w:val="24"/>
          <w:szCs w:val="24"/>
        </w:rPr>
        <w:t>a</w:t>
      </w:r>
      <w:r w:rsidRPr="00B75CD1">
        <w:rPr>
          <w:rFonts w:ascii="Times New Roman" w:hAnsi="Times New Roman" w:cs="Times New Roman"/>
          <w:sz w:val="24"/>
          <w:szCs w:val="24"/>
        </w:rPr>
        <w:t>rt</w:t>
      </w:r>
      <w:r>
        <w:rPr>
          <w:rFonts w:ascii="Times New Roman" w:hAnsi="Times New Roman" w:cs="Times New Roman"/>
          <w:sz w:val="24"/>
          <w:szCs w:val="24"/>
        </w:rPr>
        <w:t xml:space="preserve">ículo </w:t>
      </w:r>
      <w:r w:rsidRPr="00B75CD1">
        <w:rPr>
          <w:rFonts w:ascii="Times New Roman" w:hAnsi="Times New Roman" w:cs="Times New Roman"/>
          <w:sz w:val="24"/>
          <w:szCs w:val="24"/>
        </w:rPr>
        <w:t xml:space="preserve"> 9 numeral 2) se considera que la decisión de autori</w:t>
      </w:r>
      <w:r>
        <w:rPr>
          <w:rFonts w:ascii="Times New Roman" w:hAnsi="Times New Roman" w:cs="Times New Roman"/>
          <w:sz w:val="24"/>
          <w:szCs w:val="24"/>
        </w:rPr>
        <w:t>zar este tipo de medidas debe</w:t>
      </w:r>
      <w:r w:rsidRPr="00B75CD1">
        <w:rPr>
          <w:rFonts w:ascii="Times New Roman" w:hAnsi="Times New Roman" w:cs="Times New Roman"/>
          <w:sz w:val="24"/>
          <w:szCs w:val="24"/>
        </w:rPr>
        <w:t xml:space="preserve"> ser excepcional y quedar </w:t>
      </w:r>
      <w:r>
        <w:rPr>
          <w:rFonts w:ascii="Times New Roman" w:hAnsi="Times New Roman" w:cs="Times New Roman"/>
          <w:sz w:val="24"/>
          <w:szCs w:val="24"/>
        </w:rPr>
        <w:t xml:space="preserve">exclusivamente </w:t>
      </w:r>
      <w:r w:rsidRPr="00B75CD1">
        <w:rPr>
          <w:rFonts w:ascii="Times New Roman" w:hAnsi="Times New Roman" w:cs="Times New Roman"/>
          <w:sz w:val="24"/>
          <w:szCs w:val="24"/>
        </w:rPr>
        <w:t>en manos del Co</w:t>
      </w:r>
      <w:r>
        <w:rPr>
          <w:rFonts w:ascii="Times New Roman" w:hAnsi="Times New Roman" w:cs="Times New Roman"/>
          <w:sz w:val="24"/>
          <w:szCs w:val="24"/>
        </w:rPr>
        <w:t xml:space="preserve">ngreso de la República. Además, </w:t>
      </w:r>
      <w:r w:rsidRPr="00B75CD1">
        <w:rPr>
          <w:rFonts w:ascii="Times New Roman" w:hAnsi="Times New Roman" w:cs="Times New Roman"/>
          <w:sz w:val="24"/>
          <w:szCs w:val="24"/>
        </w:rPr>
        <w:t>dicha autorización debería ser transitoria, con un período de tiempo de caducidad definido.</w:t>
      </w:r>
    </w:p>
    <w:p w:rsidR="00CF4386" w:rsidRPr="00057277"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2"/>
        </w:numPr>
        <w:ind w:left="714" w:hanging="357"/>
        <w:jc w:val="both"/>
        <w:rPr>
          <w:rFonts w:ascii="Times New Roman" w:hAnsi="Times New Roman" w:cs="Times New Roman"/>
          <w:sz w:val="24"/>
          <w:szCs w:val="24"/>
        </w:rPr>
      </w:pPr>
      <w:r w:rsidRPr="00057277">
        <w:rPr>
          <w:rFonts w:ascii="Times New Roman" w:hAnsi="Times New Roman" w:cs="Times New Roman"/>
          <w:sz w:val="24"/>
          <w:szCs w:val="24"/>
        </w:rPr>
        <w:t>Es necesario incluir un título completo que regule el control de concentraciones ya que la propuesta de ley lo incluye de manera escueta y lo reduce a una notificación por parte de los agentes económicos cuyo efecto (el de la concentración) será evaluado ex post por la Superintendencia de Competencia (</w:t>
      </w:r>
      <w:r>
        <w:rPr>
          <w:rFonts w:ascii="Times New Roman" w:hAnsi="Times New Roman" w:cs="Times New Roman"/>
          <w:sz w:val="24"/>
          <w:szCs w:val="24"/>
        </w:rPr>
        <w:t>a</w:t>
      </w:r>
      <w:r w:rsidRPr="00057277">
        <w:rPr>
          <w:rFonts w:ascii="Times New Roman" w:hAnsi="Times New Roman" w:cs="Times New Roman"/>
          <w:sz w:val="24"/>
          <w:szCs w:val="24"/>
        </w:rPr>
        <w:t>r</w:t>
      </w:r>
      <w:r>
        <w:rPr>
          <w:rFonts w:ascii="Times New Roman" w:hAnsi="Times New Roman" w:cs="Times New Roman"/>
          <w:sz w:val="24"/>
          <w:szCs w:val="24"/>
        </w:rPr>
        <w:t>tículos d</w:t>
      </w:r>
      <w:r w:rsidRPr="00057277">
        <w:rPr>
          <w:rFonts w:ascii="Times New Roman" w:hAnsi="Times New Roman" w:cs="Times New Roman"/>
          <w:sz w:val="24"/>
          <w:szCs w:val="24"/>
        </w:rPr>
        <w:t xml:space="preserve">el 12 al 15). Dicha sección debería definir los criterios </w:t>
      </w:r>
      <w:r>
        <w:rPr>
          <w:rFonts w:ascii="Times New Roman" w:hAnsi="Times New Roman" w:cs="Times New Roman"/>
          <w:sz w:val="24"/>
          <w:szCs w:val="24"/>
        </w:rPr>
        <w:t xml:space="preserve">con base en </w:t>
      </w:r>
      <w:r w:rsidRPr="00057277">
        <w:rPr>
          <w:rFonts w:ascii="Times New Roman" w:hAnsi="Times New Roman" w:cs="Times New Roman"/>
          <w:sz w:val="24"/>
          <w:szCs w:val="24"/>
        </w:rPr>
        <w:t xml:space="preserve">los cuales los actores interesados en fusionarse deberán pedir el permiso y los parámetros </w:t>
      </w:r>
      <w:r>
        <w:rPr>
          <w:rFonts w:ascii="Times New Roman" w:hAnsi="Times New Roman" w:cs="Times New Roman"/>
          <w:sz w:val="24"/>
          <w:szCs w:val="24"/>
        </w:rPr>
        <w:t xml:space="preserve"> sobre</w:t>
      </w:r>
      <w:r w:rsidRPr="00057277">
        <w:rPr>
          <w:rFonts w:ascii="Times New Roman" w:hAnsi="Times New Roman" w:cs="Times New Roman"/>
          <w:sz w:val="24"/>
          <w:szCs w:val="24"/>
        </w:rPr>
        <w:t xml:space="preserve"> los </w:t>
      </w:r>
      <w:r>
        <w:rPr>
          <w:rFonts w:ascii="Times New Roman" w:hAnsi="Times New Roman" w:cs="Times New Roman"/>
          <w:sz w:val="24"/>
          <w:szCs w:val="24"/>
        </w:rPr>
        <w:t xml:space="preserve"> que</w:t>
      </w:r>
      <w:r w:rsidRPr="00057277">
        <w:rPr>
          <w:rFonts w:ascii="Times New Roman" w:hAnsi="Times New Roman" w:cs="Times New Roman"/>
          <w:sz w:val="24"/>
          <w:szCs w:val="24"/>
        </w:rPr>
        <w:t xml:space="preserve"> se </w:t>
      </w:r>
      <w:r>
        <w:rPr>
          <w:rFonts w:ascii="Times New Roman" w:hAnsi="Times New Roman" w:cs="Times New Roman"/>
          <w:sz w:val="24"/>
          <w:szCs w:val="24"/>
        </w:rPr>
        <w:t>autorizarán las concentraciones.</w:t>
      </w:r>
    </w:p>
    <w:p w:rsidR="00CF4386" w:rsidRPr="002F00B9" w:rsidRDefault="00CF4386" w:rsidP="00CF4386">
      <w:pPr>
        <w:pStyle w:val="Prrafodelista"/>
        <w:rPr>
          <w:rFonts w:ascii="Times New Roman" w:hAnsi="Times New Roman" w:cs="Times New Roman"/>
          <w:sz w:val="24"/>
          <w:szCs w:val="24"/>
        </w:rPr>
      </w:pPr>
    </w:p>
    <w:p w:rsidR="00CF4386" w:rsidRPr="002F00B9" w:rsidRDefault="00CF4386" w:rsidP="00CF4386">
      <w:pPr>
        <w:pStyle w:val="Prrafodelista"/>
        <w:numPr>
          <w:ilvl w:val="1"/>
          <w:numId w:val="6"/>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2F00B9">
        <w:rPr>
          <w:rFonts w:ascii="Times New Roman" w:hAnsi="Times New Roman" w:cs="Times New Roman"/>
          <w:b/>
          <w:sz w:val="24"/>
          <w:szCs w:val="24"/>
        </w:rPr>
        <w:t>Abogacía de la competencia (artículos del 16 al 17 de la Iniciativa).</w:t>
      </w:r>
    </w:p>
    <w:p w:rsidR="00CF4386" w:rsidRDefault="00CF4386" w:rsidP="00CF4386">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En </w:t>
      </w:r>
      <w:r w:rsidRPr="00057277">
        <w:rPr>
          <w:rFonts w:ascii="Times New Roman" w:hAnsi="Times New Roman" w:cs="Times New Roman"/>
          <w:sz w:val="24"/>
          <w:szCs w:val="24"/>
        </w:rPr>
        <w:t xml:space="preserve">este título deberían </w:t>
      </w:r>
      <w:r>
        <w:rPr>
          <w:rFonts w:ascii="Times New Roman" w:hAnsi="Times New Roman" w:cs="Times New Roman"/>
          <w:sz w:val="24"/>
          <w:szCs w:val="24"/>
        </w:rPr>
        <w:t xml:space="preserve"> establecerse</w:t>
      </w:r>
      <w:r w:rsidRPr="00057277">
        <w:rPr>
          <w:rFonts w:ascii="Times New Roman" w:hAnsi="Times New Roman" w:cs="Times New Roman"/>
          <w:sz w:val="24"/>
          <w:szCs w:val="24"/>
        </w:rPr>
        <w:t xml:space="preserve"> todas las facultades consultivas (de abogacía) de la Superintendencia y no sólo las de promoción de la misma. Dentro de las </w:t>
      </w:r>
      <w:r>
        <w:rPr>
          <w:rFonts w:ascii="Times New Roman" w:hAnsi="Times New Roman" w:cs="Times New Roman"/>
          <w:sz w:val="24"/>
          <w:szCs w:val="24"/>
        </w:rPr>
        <w:t xml:space="preserve"> potestades</w:t>
      </w:r>
      <w:r w:rsidRPr="00057277">
        <w:rPr>
          <w:rFonts w:ascii="Times New Roman" w:hAnsi="Times New Roman" w:cs="Times New Roman"/>
          <w:sz w:val="24"/>
          <w:szCs w:val="24"/>
        </w:rPr>
        <w:t xml:space="preserve"> consultivas está la emisión de la opinión sobre modificación de leyes específicas que atenten en contra del espíritu de la Ley de Competencia. La solicitud de opinión debe incluir la obligación de respuesta justificada por parte del organismo que la solicita de aceptación o no de la opinión de la Superintendencia.</w:t>
      </w:r>
    </w:p>
    <w:p w:rsidR="00CF4386" w:rsidRPr="00057277" w:rsidRDefault="00CF4386" w:rsidP="00CF4386">
      <w:pPr>
        <w:pStyle w:val="Prrafodelista"/>
        <w:ind w:left="784"/>
        <w:jc w:val="both"/>
        <w:rPr>
          <w:rFonts w:ascii="Times New Roman" w:hAnsi="Times New Roman" w:cs="Times New Roman"/>
          <w:sz w:val="24"/>
          <w:szCs w:val="24"/>
        </w:rPr>
      </w:pPr>
    </w:p>
    <w:p w:rsidR="00CF4386" w:rsidRPr="001252C9" w:rsidRDefault="00CF4386" w:rsidP="00CF4386">
      <w:pPr>
        <w:pStyle w:val="Prrafodelista"/>
        <w:numPr>
          <w:ilvl w:val="1"/>
          <w:numId w:val="6"/>
        </w:numPr>
        <w:jc w:val="both"/>
        <w:rPr>
          <w:rFonts w:ascii="Times New Roman" w:hAnsi="Times New Roman" w:cs="Times New Roman"/>
          <w:b/>
          <w:sz w:val="24"/>
          <w:szCs w:val="24"/>
        </w:rPr>
      </w:pPr>
      <w:r w:rsidRPr="001252C9">
        <w:rPr>
          <w:rFonts w:ascii="Times New Roman" w:hAnsi="Times New Roman" w:cs="Times New Roman"/>
          <w:b/>
          <w:sz w:val="24"/>
          <w:szCs w:val="24"/>
        </w:rPr>
        <w:t xml:space="preserve"> Superintendencia de Competencia (artículos del 18 al 86 de la Iniciativa).</w:t>
      </w:r>
    </w:p>
    <w:p w:rsidR="00CF4386" w:rsidRDefault="00CF4386" w:rsidP="00CF4386">
      <w:pPr>
        <w:pStyle w:val="Prrafodelista"/>
        <w:numPr>
          <w:ilvl w:val="0"/>
          <w:numId w:val="3"/>
        </w:numPr>
        <w:jc w:val="both"/>
        <w:rPr>
          <w:rFonts w:ascii="Times New Roman" w:hAnsi="Times New Roman" w:cs="Times New Roman"/>
          <w:sz w:val="24"/>
          <w:szCs w:val="24"/>
        </w:rPr>
      </w:pPr>
      <w:r w:rsidRPr="00057277">
        <w:rPr>
          <w:rFonts w:ascii="Times New Roman" w:hAnsi="Times New Roman" w:cs="Times New Roman"/>
          <w:sz w:val="24"/>
          <w:szCs w:val="24"/>
        </w:rPr>
        <w:t>Como una observación general a este Título, se aprecia que está desarrollado con demasiado detalle</w:t>
      </w:r>
      <w:r>
        <w:rPr>
          <w:rFonts w:ascii="Times New Roman" w:hAnsi="Times New Roman" w:cs="Times New Roman"/>
          <w:sz w:val="24"/>
          <w:szCs w:val="24"/>
        </w:rPr>
        <w:t>,</w:t>
      </w:r>
      <w:r w:rsidRPr="00057277">
        <w:rPr>
          <w:rFonts w:ascii="Times New Roman" w:hAnsi="Times New Roman" w:cs="Times New Roman"/>
          <w:sz w:val="24"/>
          <w:szCs w:val="24"/>
        </w:rPr>
        <w:t xml:space="preserve"> lo que hace que el apartado sea muy complejo</w:t>
      </w:r>
      <w:r>
        <w:rPr>
          <w:rFonts w:ascii="Times New Roman" w:hAnsi="Times New Roman" w:cs="Times New Roman"/>
          <w:sz w:val="24"/>
          <w:szCs w:val="24"/>
        </w:rPr>
        <w:t>. Se</w:t>
      </w:r>
      <w:r w:rsidRPr="00057277">
        <w:rPr>
          <w:rFonts w:ascii="Times New Roman" w:hAnsi="Times New Roman" w:cs="Times New Roman"/>
          <w:sz w:val="24"/>
          <w:szCs w:val="24"/>
        </w:rPr>
        <w:t xml:space="preserve"> recomienda incluir los detalles dentro del Reglamento de la Ley.</w:t>
      </w:r>
    </w:p>
    <w:p w:rsidR="00CF4386" w:rsidRDefault="00CF4386" w:rsidP="00CF4386">
      <w:pPr>
        <w:pStyle w:val="Prrafodelista"/>
        <w:ind w:left="784"/>
        <w:jc w:val="both"/>
        <w:rPr>
          <w:rFonts w:ascii="Times New Roman" w:hAnsi="Times New Roman" w:cs="Times New Roman"/>
          <w:sz w:val="24"/>
          <w:szCs w:val="24"/>
        </w:rPr>
      </w:pPr>
    </w:p>
    <w:p w:rsidR="00CF4386" w:rsidRDefault="00CF4386" w:rsidP="00CF4386">
      <w:pPr>
        <w:pStyle w:val="Prrafodelista"/>
        <w:numPr>
          <w:ilvl w:val="0"/>
          <w:numId w:val="3"/>
        </w:numPr>
        <w:jc w:val="both"/>
        <w:rPr>
          <w:rFonts w:ascii="Times New Roman" w:hAnsi="Times New Roman" w:cs="Times New Roman"/>
          <w:sz w:val="24"/>
          <w:szCs w:val="24"/>
        </w:rPr>
      </w:pPr>
      <w:r w:rsidRPr="00057277">
        <w:rPr>
          <w:rFonts w:ascii="Times New Roman" w:hAnsi="Times New Roman" w:cs="Times New Roman"/>
          <w:sz w:val="24"/>
          <w:szCs w:val="24"/>
        </w:rPr>
        <w:t>Acerca de la integración del Directorio</w:t>
      </w:r>
      <w:r>
        <w:rPr>
          <w:rFonts w:ascii="Times New Roman" w:hAnsi="Times New Roman" w:cs="Times New Roman"/>
          <w:sz w:val="24"/>
          <w:szCs w:val="24"/>
        </w:rPr>
        <w:t>,</w:t>
      </w:r>
      <w:r w:rsidRPr="00057277">
        <w:rPr>
          <w:rFonts w:ascii="Times New Roman" w:hAnsi="Times New Roman" w:cs="Times New Roman"/>
          <w:sz w:val="24"/>
          <w:szCs w:val="24"/>
        </w:rPr>
        <w:t xml:space="preserve"> se propone la eliminación de la figura de </w:t>
      </w:r>
      <w:r>
        <w:rPr>
          <w:rFonts w:ascii="Times New Roman" w:hAnsi="Times New Roman" w:cs="Times New Roman"/>
          <w:sz w:val="24"/>
          <w:szCs w:val="24"/>
        </w:rPr>
        <w:t xml:space="preserve">la </w:t>
      </w:r>
      <w:r w:rsidRPr="00057277">
        <w:rPr>
          <w:rFonts w:ascii="Times New Roman" w:hAnsi="Times New Roman" w:cs="Times New Roman"/>
          <w:sz w:val="24"/>
          <w:szCs w:val="24"/>
        </w:rPr>
        <w:t xml:space="preserve">Comisión de Postulación ya que ésta estaría integrada por representantes de las mismas instituciones que integrarían el Directorio. Para fines prácticos, se tendría el mismo resultado de un proceso de designación directa de funcionarios de las tres instituciones propuestas para conformar el Directorio; se recomienda incorporar </w:t>
      </w:r>
      <w:r>
        <w:rPr>
          <w:rFonts w:ascii="Times New Roman" w:hAnsi="Times New Roman" w:cs="Times New Roman"/>
          <w:sz w:val="24"/>
          <w:szCs w:val="24"/>
        </w:rPr>
        <w:t xml:space="preserve">para la designación, </w:t>
      </w:r>
      <w:r w:rsidRPr="00057277">
        <w:rPr>
          <w:rFonts w:ascii="Times New Roman" w:hAnsi="Times New Roman" w:cs="Times New Roman"/>
          <w:sz w:val="24"/>
          <w:szCs w:val="24"/>
        </w:rPr>
        <w:t>el sorteo entre ternas integradas por profesionales que reúnan los méritos de capacidad, idoneidad y honradez requeridos para el puesto y de conformidad con procedimientos establecidos en el reglamento. En cuanto al perfil profesional de los integrantes del Directorio, debe asegurarse que los requisitos no sean limitativos de la posibilidad de designar personas capaces, y que haya opciones de formación profesional en la materia, por ser un tema nuevo en Guatemala para el cual no se cuenta con expertos nacionales.</w:t>
      </w:r>
    </w:p>
    <w:p w:rsidR="00CF4386" w:rsidRPr="00057277"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3"/>
        </w:numPr>
        <w:jc w:val="both"/>
        <w:rPr>
          <w:rFonts w:ascii="Times New Roman" w:hAnsi="Times New Roman" w:cs="Times New Roman"/>
          <w:sz w:val="24"/>
          <w:szCs w:val="24"/>
        </w:rPr>
      </w:pPr>
      <w:r w:rsidRPr="00B75CD1">
        <w:rPr>
          <w:rFonts w:ascii="Times New Roman" w:hAnsi="Times New Roman" w:cs="Times New Roman"/>
          <w:sz w:val="24"/>
          <w:szCs w:val="24"/>
        </w:rPr>
        <w:t>Sobre la remoción del Superintendente, es necesario estipular las causales que justificarían dicha decisión, a fin de limitar la discrecionalidad del Directorio (</w:t>
      </w:r>
      <w:r>
        <w:rPr>
          <w:rFonts w:ascii="Times New Roman" w:hAnsi="Times New Roman" w:cs="Times New Roman"/>
          <w:sz w:val="24"/>
          <w:szCs w:val="24"/>
        </w:rPr>
        <w:t xml:space="preserve">artículo </w:t>
      </w:r>
      <w:r w:rsidRPr="00B75CD1">
        <w:rPr>
          <w:rFonts w:ascii="Times New Roman" w:hAnsi="Times New Roman" w:cs="Times New Roman"/>
          <w:sz w:val="24"/>
          <w:szCs w:val="24"/>
        </w:rPr>
        <w:t>76).</w:t>
      </w:r>
    </w:p>
    <w:p w:rsidR="00CF4386" w:rsidRPr="00057277"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3"/>
        </w:numPr>
        <w:jc w:val="both"/>
        <w:rPr>
          <w:rFonts w:ascii="Times New Roman" w:hAnsi="Times New Roman" w:cs="Times New Roman"/>
          <w:sz w:val="24"/>
          <w:szCs w:val="24"/>
        </w:rPr>
      </w:pPr>
      <w:r w:rsidRPr="00B75CD1">
        <w:rPr>
          <w:rFonts w:ascii="Times New Roman" w:hAnsi="Times New Roman" w:cs="Times New Roman"/>
          <w:sz w:val="24"/>
          <w:szCs w:val="24"/>
        </w:rPr>
        <w:t>Es necesario eliminar el artículo 81 que otorga derecho de antejuicio a los Directores, Superintendente y funcionarios de la Superintendencia de Competencia.</w:t>
      </w:r>
    </w:p>
    <w:p w:rsidR="00CF4386" w:rsidRPr="00057277"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3"/>
        </w:numPr>
        <w:jc w:val="both"/>
        <w:rPr>
          <w:rFonts w:ascii="Times New Roman" w:hAnsi="Times New Roman" w:cs="Times New Roman"/>
          <w:sz w:val="24"/>
          <w:szCs w:val="24"/>
        </w:rPr>
      </w:pPr>
      <w:r w:rsidRPr="00B75CD1">
        <w:rPr>
          <w:rFonts w:ascii="Times New Roman" w:hAnsi="Times New Roman" w:cs="Times New Roman"/>
          <w:sz w:val="24"/>
          <w:szCs w:val="24"/>
        </w:rPr>
        <w:t>Asimismo, se deben eliminar los aportes privados para financiar la institución, ya que crea un conflicto de interés entre los agentes económicos y la Superintendencia.</w:t>
      </w:r>
    </w:p>
    <w:p w:rsidR="00CF4386" w:rsidRPr="002F00B9" w:rsidRDefault="00CF4386" w:rsidP="00CF4386">
      <w:pPr>
        <w:pStyle w:val="Prrafodelista"/>
        <w:rPr>
          <w:rFonts w:ascii="Times New Roman" w:hAnsi="Times New Roman" w:cs="Times New Roman"/>
          <w:sz w:val="24"/>
          <w:szCs w:val="24"/>
        </w:rPr>
      </w:pPr>
    </w:p>
    <w:p w:rsidR="00CF4386" w:rsidRPr="002F00B9" w:rsidRDefault="00CF4386" w:rsidP="00CF4386">
      <w:pPr>
        <w:pStyle w:val="Prrafodelista"/>
        <w:numPr>
          <w:ilvl w:val="1"/>
          <w:numId w:val="6"/>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2F00B9">
        <w:rPr>
          <w:rFonts w:ascii="Times New Roman" w:hAnsi="Times New Roman" w:cs="Times New Roman"/>
          <w:b/>
          <w:sz w:val="24"/>
          <w:szCs w:val="24"/>
        </w:rPr>
        <w:t xml:space="preserve">Proceso </w:t>
      </w:r>
      <w:r>
        <w:rPr>
          <w:rFonts w:ascii="Times New Roman" w:hAnsi="Times New Roman" w:cs="Times New Roman"/>
          <w:b/>
          <w:sz w:val="24"/>
          <w:szCs w:val="24"/>
        </w:rPr>
        <w:t>a</w:t>
      </w:r>
      <w:r w:rsidRPr="002F00B9">
        <w:rPr>
          <w:rFonts w:ascii="Times New Roman" w:hAnsi="Times New Roman" w:cs="Times New Roman"/>
          <w:b/>
          <w:sz w:val="24"/>
          <w:szCs w:val="24"/>
        </w:rPr>
        <w:t>dministrativo (artículos del 87 al 101 de la Iniciativa).</w:t>
      </w:r>
    </w:p>
    <w:p w:rsidR="00CF4386" w:rsidRDefault="00CF4386" w:rsidP="00CF4386">
      <w:pPr>
        <w:pStyle w:val="Prrafodelista"/>
        <w:numPr>
          <w:ilvl w:val="0"/>
          <w:numId w:val="4"/>
        </w:numPr>
        <w:jc w:val="both"/>
        <w:rPr>
          <w:rFonts w:ascii="Times New Roman" w:hAnsi="Times New Roman" w:cs="Times New Roman"/>
          <w:sz w:val="24"/>
          <w:szCs w:val="24"/>
        </w:rPr>
      </w:pPr>
      <w:r w:rsidRPr="00057277">
        <w:rPr>
          <w:rFonts w:ascii="Times New Roman" w:hAnsi="Times New Roman" w:cs="Times New Roman"/>
          <w:sz w:val="24"/>
          <w:szCs w:val="24"/>
        </w:rPr>
        <w:t xml:space="preserve">Para el adecuado funcionamiento de la Superintendencia, es crucial separar las funciones del Directorio y del Superintendente, siendo el Directorio la unidad responsable de conocer los recursos legales interpuestos por los actores económicos investigados y la resolución de los casos, debiendo ser el Superintendente responsable exclusivo de dirigir el proceso completo de investigación y aplicación de sanciones de conformidad con la </w:t>
      </w:r>
      <w:r>
        <w:rPr>
          <w:rFonts w:ascii="Times New Roman" w:hAnsi="Times New Roman" w:cs="Times New Roman"/>
          <w:sz w:val="24"/>
          <w:szCs w:val="24"/>
        </w:rPr>
        <w:t>L</w:t>
      </w:r>
      <w:r w:rsidRPr="00057277">
        <w:rPr>
          <w:rFonts w:ascii="Times New Roman" w:hAnsi="Times New Roman" w:cs="Times New Roman"/>
          <w:sz w:val="24"/>
          <w:szCs w:val="24"/>
        </w:rPr>
        <w:t xml:space="preserve">ey. En la Iniciativa de Ley se le otorga demasiado poder al Directorio a lo largo de todo el proceso de investigación, que se traduce en: a) la posibilidad de desestimar una denuncia </w:t>
      </w:r>
      <w:r>
        <w:rPr>
          <w:rFonts w:ascii="Times New Roman" w:hAnsi="Times New Roman" w:cs="Times New Roman"/>
          <w:sz w:val="24"/>
          <w:szCs w:val="24"/>
        </w:rPr>
        <w:t xml:space="preserve"> aún </w:t>
      </w:r>
      <w:r w:rsidRPr="00057277">
        <w:rPr>
          <w:rFonts w:ascii="Times New Roman" w:hAnsi="Times New Roman" w:cs="Times New Roman"/>
          <w:sz w:val="24"/>
          <w:szCs w:val="24"/>
        </w:rPr>
        <w:t xml:space="preserve"> antes de iniciada la investigación (artículo 97); b) conocer y conducir todo el proceso de investigación; y c) discrecionalidad en la anulación de sanciones y reducción de multas.</w:t>
      </w:r>
    </w:p>
    <w:p w:rsidR="00CF4386" w:rsidRPr="00057277" w:rsidRDefault="00CF4386" w:rsidP="00CF4386">
      <w:pPr>
        <w:pStyle w:val="Prrafodelista"/>
        <w:jc w:val="both"/>
        <w:rPr>
          <w:rFonts w:ascii="Times New Roman" w:hAnsi="Times New Roman" w:cs="Times New Roman"/>
          <w:sz w:val="24"/>
          <w:szCs w:val="24"/>
        </w:rPr>
      </w:pPr>
    </w:p>
    <w:p w:rsidR="00CF4386" w:rsidRDefault="00CF4386" w:rsidP="00CF4386">
      <w:pPr>
        <w:pStyle w:val="Prrafodelista"/>
        <w:numPr>
          <w:ilvl w:val="0"/>
          <w:numId w:val="4"/>
        </w:numPr>
        <w:jc w:val="both"/>
        <w:rPr>
          <w:rFonts w:ascii="Times New Roman" w:hAnsi="Times New Roman" w:cs="Times New Roman"/>
          <w:sz w:val="24"/>
          <w:szCs w:val="24"/>
        </w:rPr>
      </w:pPr>
      <w:r w:rsidRPr="00B75CD1">
        <w:rPr>
          <w:rFonts w:ascii="Times New Roman" w:hAnsi="Times New Roman" w:cs="Times New Roman"/>
          <w:sz w:val="24"/>
          <w:szCs w:val="24"/>
        </w:rPr>
        <w:t>Una denuncia se debería desestimar solamente después de haber realizado la adecuada investigación. Por lo</w:t>
      </w:r>
      <w:r>
        <w:rPr>
          <w:rFonts w:ascii="Times New Roman" w:hAnsi="Times New Roman" w:cs="Times New Roman"/>
          <w:sz w:val="24"/>
          <w:szCs w:val="24"/>
        </w:rPr>
        <w:t xml:space="preserve"> anterior, </w:t>
      </w:r>
      <w:r w:rsidRPr="00B75CD1">
        <w:rPr>
          <w:rFonts w:ascii="Times New Roman" w:hAnsi="Times New Roman" w:cs="Times New Roman"/>
          <w:sz w:val="24"/>
          <w:szCs w:val="24"/>
        </w:rPr>
        <w:t xml:space="preserve"> se considera necesario eliminar la posibilidad de que el Directorio pueda desestimar denuncias que considere improcedentes, así como la restricción de que contra estas resoluciones no cabrá recurso alguno, porque puede ser un obstáculo para que se realicen investigaciones sobre prácticas anti competitivas; en todo caso se recomienda que conozca sobre la admisibilidad o no de la denuncia.     </w:t>
      </w:r>
    </w:p>
    <w:p w:rsidR="00CF4386" w:rsidRPr="00CF5B02"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4"/>
        </w:numPr>
        <w:jc w:val="both"/>
        <w:rPr>
          <w:rFonts w:ascii="Times New Roman" w:hAnsi="Times New Roman" w:cs="Times New Roman"/>
          <w:sz w:val="24"/>
          <w:szCs w:val="24"/>
        </w:rPr>
      </w:pPr>
      <w:r w:rsidRPr="00057277">
        <w:rPr>
          <w:rFonts w:ascii="Times New Roman" w:hAnsi="Times New Roman" w:cs="Times New Roman"/>
          <w:sz w:val="24"/>
          <w:szCs w:val="24"/>
        </w:rPr>
        <w:t xml:space="preserve">Se considera que la exigencia legal de que los actores económicos afectados fundamenten documentalmente y con suficientes argumentos que demuestren la veracidad de las denuncias que presentan, limitaría la posibilidad de que éstos presenten demandas. </w:t>
      </w:r>
    </w:p>
    <w:p w:rsidR="00CF4386" w:rsidRPr="00CF5B02"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4"/>
        </w:numPr>
        <w:jc w:val="both"/>
        <w:rPr>
          <w:rFonts w:ascii="Times New Roman" w:hAnsi="Times New Roman" w:cs="Times New Roman"/>
          <w:sz w:val="24"/>
          <w:szCs w:val="24"/>
        </w:rPr>
      </w:pPr>
      <w:r w:rsidRPr="00B75CD1">
        <w:rPr>
          <w:rFonts w:ascii="Times New Roman" w:hAnsi="Times New Roman" w:cs="Times New Roman"/>
          <w:sz w:val="24"/>
          <w:szCs w:val="24"/>
        </w:rPr>
        <w:t>El artículo 98 sobre el proceso administrativo de la investigación es demasiado extenso y complejo, por lo que se recomienda sea abordado en una sección por separado, para que pueda quedar debidamente desarrollado y explicado el proceso. Y el informe de la investigación debe estar a cargo de la Superintendencia de Competencia y el Directorio debe dictar una resolución, por lo que procedería cambiar los términos incluidos en la ley</w:t>
      </w:r>
      <w:r>
        <w:rPr>
          <w:rFonts w:ascii="Times New Roman" w:hAnsi="Times New Roman" w:cs="Times New Roman"/>
          <w:sz w:val="24"/>
          <w:szCs w:val="24"/>
        </w:rPr>
        <w:t xml:space="preserve">, para dar mayor claridad. </w:t>
      </w:r>
    </w:p>
    <w:p w:rsidR="00CF4386" w:rsidRPr="00B75CD1" w:rsidRDefault="00CF4386" w:rsidP="00CF4386">
      <w:pPr>
        <w:pStyle w:val="Prrafodelista"/>
        <w:ind w:left="360"/>
        <w:jc w:val="both"/>
        <w:rPr>
          <w:rFonts w:ascii="Times New Roman" w:hAnsi="Times New Roman" w:cs="Times New Roman"/>
          <w:sz w:val="24"/>
          <w:szCs w:val="24"/>
        </w:rPr>
      </w:pPr>
    </w:p>
    <w:p w:rsidR="00CF4386" w:rsidRDefault="00CF4386" w:rsidP="00CF4386">
      <w:pPr>
        <w:pStyle w:val="Prrafodelista"/>
        <w:numPr>
          <w:ilvl w:val="0"/>
          <w:numId w:val="4"/>
        </w:numPr>
        <w:jc w:val="both"/>
        <w:rPr>
          <w:rFonts w:ascii="Times New Roman" w:hAnsi="Times New Roman" w:cs="Times New Roman"/>
          <w:sz w:val="24"/>
          <w:szCs w:val="24"/>
        </w:rPr>
      </w:pPr>
      <w:r w:rsidRPr="00B75CD1">
        <w:rPr>
          <w:rFonts w:ascii="Times New Roman" w:hAnsi="Times New Roman" w:cs="Times New Roman"/>
          <w:sz w:val="24"/>
          <w:szCs w:val="24"/>
        </w:rPr>
        <w:t>Es necesario que la Superintendencia pueda tener acceso expedito a información financiera de los actores económicos, como parte de los medios de prueba para poder realizar una investigación profunda de los casos. En caso el agente económico se niegue a presentar los medios de prueba que se le soliciten, debe establecerse una sanción económica y no trasladar el caso a la instancia judicial, porque se pueden alargar indefinidamente los plazos.</w:t>
      </w:r>
    </w:p>
    <w:p w:rsidR="00CF4386" w:rsidRPr="00B75CD1" w:rsidRDefault="00CF4386" w:rsidP="00CF4386">
      <w:pPr>
        <w:pStyle w:val="Prrafodelista"/>
        <w:ind w:left="360"/>
        <w:jc w:val="both"/>
        <w:rPr>
          <w:rFonts w:ascii="Times New Roman" w:hAnsi="Times New Roman" w:cs="Times New Roman"/>
          <w:sz w:val="24"/>
          <w:szCs w:val="24"/>
        </w:rPr>
      </w:pPr>
    </w:p>
    <w:p w:rsidR="00CF4386" w:rsidRDefault="00CF4386" w:rsidP="00CF4386">
      <w:pPr>
        <w:pStyle w:val="Prrafodelista"/>
        <w:numPr>
          <w:ilvl w:val="0"/>
          <w:numId w:val="4"/>
        </w:numPr>
        <w:jc w:val="both"/>
        <w:rPr>
          <w:rFonts w:ascii="Times New Roman" w:hAnsi="Times New Roman" w:cs="Times New Roman"/>
          <w:sz w:val="24"/>
          <w:szCs w:val="24"/>
        </w:rPr>
      </w:pPr>
      <w:r w:rsidRPr="00B75CD1">
        <w:rPr>
          <w:rFonts w:ascii="Times New Roman" w:hAnsi="Times New Roman" w:cs="Times New Roman"/>
          <w:sz w:val="24"/>
          <w:szCs w:val="24"/>
        </w:rPr>
        <w:t>Adi</w:t>
      </w:r>
      <w:r>
        <w:rPr>
          <w:rFonts w:ascii="Times New Roman" w:hAnsi="Times New Roman" w:cs="Times New Roman"/>
          <w:sz w:val="24"/>
          <w:szCs w:val="24"/>
        </w:rPr>
        <w:t xml:space="preserve">cionalmente lo anterior, </w:t>
      </w:r>
      <w:r w:rsidRPr="00B75CD1">
        <w:rPr>
          <w:rFonts w:ascii="Times New Roman" w:hAnsi="Times New Roman" w:cs="Times New Roman"/>
          <w:sz w:val="24"/>
          <w:szCs w:val="24"/>
        </w:rPr>
        <w:t xml:space="preserve">se </w:t>
      </w:r>
      <w:r>
        <w:rPr>
          <w:rFonts w:ascii="Times New Roman" w:hAnsi="Times New Roman" w:cs="Times New Roman"/>
          <w:sz w:val="24"/>
          <w:szCs w:val="24"/>
        </w:rPr>
        <w:t xml:space="preserve">estima </w:t>
      </w:r>
      <w:r w:rsidRPr="00B75CD1">
        <w:rPr>
          <w:rFonts w:ascii="Times New Roman" w:hAnsi="Times New Roman" w:cs="Times New Roman"/>
          <w:sz w:val="24"/>
          <w:szCs w:val="24"/>
        </w:rPr>
        <w:t>que los plazos establecidos para realizar las investigaciones son insuficientes (45 días) ya que el análisis de los casos será complejo en muchas ocasiones.</w:t>
      </w:r>
    </w:p>
    <w:p w:rsidR="00CF4386" w:rsidRPr="00CF5B02" w:rsidRDefault="00CF4386" w:rsidP="00CF4386">
      <w:pPr>
        <w:pStyle w:val="Prrafodelista"/>
        <w:rPr>
          <w:rFonts w:ascii="Times New Roman" w:hAnsi="Times New Roman" w:cs="Times New Roman"/>
          <w:sz w:val="24"/>
          <w:szCs w:val="24"/>
        </w:rPr>
      </w:pPr>
    </w:p>
    <w:p w:rsidR="00CF4386" w:rsidRDefault="00CF4386" w:rsidP="00CF4386">
      <w:pPr>
        <w:pStyle w:val="Prrafodelista"/>
        <w:numPr>
          <w:ilvl w:val="0"/>
          <w:numId w:val="4"/>
        </w:numPr>
        <w:jc w:val="both"/>
        <w:rPr>
          <w:rFonts w:ascii="Times New Roman" w:hAnsi="Times New Roman" w:cs="Times New Roman"/>
          <w:sz w:val="24"/>
          <w:szCs w:val="24"/>
        </w:rPr>
      </w:pPr>
      <w:r w:rsidRPr="00B75CD1">
        <w:rPr>
          <w:rFonts w:ascii="Times New Roman" w:hAnsi="Times New Roman" w:cs="Times New Roman"/>
          <w:sz w:val="24"/>
          <w:szCs w:val="24"/>
        </w:rPr>
        <w:t>Después de la resolución del caso por parte del Directorio, para la fijación de la sanción aplicable al caso, no deberían incluirse las consideraciones que estipula el artículo 98 en cuanto a no menoscabar la eficiencia de la actividad productiva del agente económico de que se trate, en virtud de que es un aspecto subjetivo que puede limitar la efectividad de la sanción.</w:t>
      </w:r>
    </w:p>
    <w:p w:rsidR="00CF4386" w:rsidRPr="002F00B9" w:rsidRDefault="00CF4386" w:rsidP="00CF4386">
      <w:pPr>
        <w:pStyle w:val="Prrafodelista"/>
        <w:rPr>
          <w:rFonts w:ascii="Times New Roman" w:hAnsi="Times New Roman" w:cs="Times New Roman"/>
          <w:sz w:val="24"/>
          <w:szCs w:val="24"/>
        </w:rPr>
      </w:pPr>
    </w:p>
    <w:p w:rsidR="00CF4386" w:rsidRPr="002F00B9" w:rsidRDefault="00CF4386" w:rsidP="00CF4386">
      <w:pPr>
        <w:pStyle w:val="Prrafodelista"/>
        <w:numPr>
          <w:ilvl w:val="1"/>
          <w:numId w:val="6"/>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2F00B9">
        <w:rPr>
          <w:rFonts w:ascii="Times New Roman" w:hAnsi="Times New Roman" w:cs="Times New Roman"/>
          <w:b/>
          <w:sz w:val="24"/>
          <w:szCs w:val="24"/>
        </w:rPr>
        <w:t>Infracciones, sanciones, medidas y prescripción (artículos del 106 al 130 de la Iniciativa).</w:t>
      </w:r>
    </w:p>
    <w:p w:rsidR="00CF4386" w:rsidRPr="00204EC8" w:rsidRDefault="00CF4386" w:rsidP="00CF4386">
      <w:pPr>
        <w:pStyle w:val="Prrafodelista"/>
        <w:widowControl w:val="0"/>
        <w:numPr>
          <w:ilvl w:val="0"/>
          <w:numId w:val="5"/>
        </w:numPr>
        <w:overflowPunct w:val="0"/>
        <w:autoSpaceDE w:val="0"/>
        <w:autoSpaceDN w:val="0"/>
        <w:adjustRightInd w:val="0"/>
        <w:spacing w:after="0" w:line="265" w:lineRule="auto"/>
        <w:jc w:val="both"/>
        <w:rPr>
          <w:rFonts w:ascii="Calibri" w:hAnsi="Calibri" w:cs="Calibri"/>
        </w:rPr>
      </w:pPr>
      <w:r w:rsidRPr="00204EC8">
        <w:rPr>
          <w:rFonts w:ascii="Times New Roman" w:hAnsi="Times New Roman" w:cs="Times New Roman"/>
          <w:sz w:val="24"/>
          <w:szCs w:val="24"/>
        </w:rPr>
        <w:t>Deben establecerse multas graduales en el régimen sancionador, en función de la gravedad de la infracción, cuyos grados deberán quedar definidos en la Ley. En otras palabras, se podría establecer un catálogo de infracciones, agrupadas en tres categorías, leves, graves y muy graves,  las sanciones correspondientes a la gravedad de la misma En mérito de lo anteriormente expuesto, se  recomienda lo siguiente</w:t>
      </w:r>
      <w:r w:rsidRPr="00204EC8">
        <w:rPr>
          <w:rFonts w:ascii="Calibri" w:hAnsi="Calibri" w:cs="Calibri"/>
        </w:rPr>
        <w:t>:</w:t>
      </w:r>
    </w:p>
    <w:p w:rsidR="00CF4386" w:rsidRDefault="00CF4386" w:rsidP="00CF4386">
      <w:pPr>
        <w:widowControl w:val="0"/>
        <w:overflowPunct w:val="0"/>
        <w:autoSpaceDE w:val="0"/>
        <w:autoSpaceDN w:val="0"/>
        <w:adjustRightInd w:val="0"/>
        <w:spacing w:after="0" w:line="265" w:lineRule="auto"/>
        <w:ind w:left="360"/>
        <w:jc w:val="both"/>
        <w:rPr>
          <w:rFonts w:ascii="Times New Roman" w:hAnsi="Times New Roman" w:cs="Times New Roman"/>
          <w:b/>
          <w:sz w:val="24"/>
          <w:szCs w:val="24"/>
        </w:rPr>
      </w:pPr>
    </w:p>
    <w:p w:rsidR="00CF4386" w:rsidRDefault="00CF4386" w:rsidP="00CF4386">
      <w:pPr>
        <w:widowControl w:val="0"/>
        <w:overflowPunct w:val="0"/>
        <w:autoSpaceDE w:val="0"/>
        <w:autoSpaceDN w:val="0"/>
        <w:adjustRightInd w:val="0"/>
        <w:spacing w:after="0" w:line="265" w:lineRule="auto"/>
        <w:jc w:val="both"/>
        <w:rPr>
          <w:rFonts w:ascii="Times New Roman" w:hAnsi="Times New Roman" w:cs="Times New Roman"/>
          <w:sz w:val="24"/>
          <w:szCs w:val="24"/>
        </w:rPr>
      </w:pPr>
      <w:r>
        <w:rPr>
          <w:rFonts w:ascii="Times New Roman" w:hAnsi="Times New Roman" w:cs="Times New Roman"/>
          <w:b/>
          <w:sz w:val="24"/>
          <w:szCs w:val="24"/>
        </w:rPr>
        <w:t>2</w:t>
      </w:r>
      <w:r w:rsidRPr="00CF5B02">
        <w:rPr>
          <w:rFonts w:ascii="Times New Roman" w:hAnsi="Times New Roman" w:cs="Times New Roman"/>
          <w:b/>
          <w:sz w:val="24"/>
          <w:szCs w:val="24"/>
        </w:rPr>
        <w:t>.</w:t>
      </w:r>
      <w:r>
        <w:rPr>
          <w:rFonts w:ascii="Times New Roman" w:hAnsi="Times New Roman" w:cs="Times New Roman"/>
          <w:b/>
          <w:sz w:val="24"/>
          <w:szCs w:val="24"/>
        </w:rPr>
        <w:t xml:space="preserve"> Recomendaciones</w:t>
      </w:r>
      <w:r>
        <w:rPr>
          <w:rFonts w:ascii="Times New Roman" w:hAnsi="Times New Roman" w:cs="Times New Roman"/>
          <w:sz w:val="24"/>
          <w:szCs w:val="24"/>
        </w:rPr>
        <w:t xml:space="preserve">: </w:t>
      </w:r>
    </w:p>
    <w:p w:rsidR="00CF4386" w:rsidRDefault="00CF4386" w:rsidP="00CF4386">
      <w:pPr>
        <w:widowControl w:val="0"/>
        <w:overflowPunct w:val="0"/>
        <w:autoSpaceDE w:val="0"/>
        <w:autoSpaceDN w:val="0"/>
        <w:adjustRightInd w:val="0"/>
        <w:spacing w:after="0" w:line="265" w:lineRule="auto"/>
        <w:ind w:left="360"/>
        <w:jc w:val="both"/>
        <w:rPr>
          <w:rFonts w:ascii="Times New Roman" w:hAnsi="Times New Roman" w:cs="Times New Roman"/>
          <w:sz w:val="24"/>
          <w:szCs w:val="24"/>
        </w:rPr>
      </w:pPr>
    </w:p>
    <w:p w:rsidR="00CF4386" w:rsidRPr="002F00B9" w:rsidRDefault="00CF4386" w:rsidP="00CF4386">
      <w:pPr>
        <w:pStyle w:val="Prrafodelista"/>
        <w:widowControl w:val="0"/>
        <w:numPr>
          <w:ilvl w:val="0"/>
          <w:numId w:val="5"/>
        </w:numPr>
        <w:overflowPunct w:val="0"/>
        <w:autoSpaceDE w:val="0"/>
        <w:autoSpaceDN w:val="0"/>
        <w:adjustRightInd w:val="0"/>
        <w:spacing w:after="0" w:line="265" w:lineRule="auto"/>
        <w:jc w:val="both"/>
        <w:rPr>
          <w:rFonts w:ascii="Times New Roman" w:hAnsi="Times New Roman" w:cs="Times New Roman"/>
          <w:sz w:val="24"/>
          <w:szCs w:val="24"/>
        </w:rPr>
      </w:pPr>
      <w:r w:rsidRPr="002F00B9">
        <w:rPr>
          <w:rFonts w:ascii="Times New Roman" w:hAnsi="Times New Roman" w:cs="Times New Roman"/>
          <w:sz w:val="24"/>
          <w:szCs w:val="24"/>
        </w:rPr>
        <w:t xml:space="preserve">Con relación a las excepciones incluidas en la Iniciativa, se considera que éstas  no deben existir debiendo ser la </w:t>
      </w:r>
      <w:r>
        <w:rPr>
          <w:rFonts w:ascii="Times New Roman" w:hAnsi="Times New Roman" w:cs="Times New Roman"/>
          <w:sz w:val="24"/>
          <w:szCs w:val="24"/>
        </w:rPr>
        <w:t>L</w:t>
      </w:r>
      <w:r w:rsidRPr="002F00B9">
        <w:rPr>
          <w:rFonts w:ascii="Times New Roman" w:hAnsi="Times New Roman" w:cs="Times New Roman"/>
          <w:sz w:val="24"/>
          <w:szCs w:val="24"/>
        </w:rPr>
        <w:t>ey, de carácter general y abstracto y sin que dé lugar a privilegios.</w:t>
      </w:r>
    </w:p>
    <w:p w:rsidR="00CF4386" w:rsidRPr="00553E8B" w:rsidRDefault="00CF4386" w:rsidP="00CF4386">
      <w:pPr>
        <w:widowControl w:val="0"/>
        <w:overflowPunct w:val="0"/>
        <w:autoSpaceDE w:val="0"/>
        <w:autoSpaceDN w:val="0"/>
        <w:adjustRightInd w:val="0"/>
        <w:spacing w:after="0" w:line="265" w:lineRule="auto"/>
        <w:ind w:left="360"/>
        <w:jc w:val="both"/>
        <w:rPr>
          <w:rFonts w:ascii="Times New Roman" w:hAnsi="Times New Roman" w:cs="Times New Roman"/>
          <w:sz w:val="24"/>
          <w:szCs w:val="24"/>
        </w:rPr>
      </w:pPr>
    </w:p>
    <w:p w:rsidR="00CF4386" w:rsidRPr="002F00B9" w:rsidRDefault="00CF4386" w:rsidP="00CF4386">
      <w:pPr>
        <w:pStyle w:val="Prrafodelista"/>
        <w:widowControl w:val="0"/>
        <w:numPr>
          <w:ilvl w:val="0"/>
          <w:numId w:val="5"/>
        </w:numPr>
        <w:overflowPunct w:val="0"/>
        <w:autoSpaceDE w:val="0"/>
        <w:autoSpaceDN w:val="0"/>
        <w:adjustRightInd w:val="0"/>
        <w:spacing w:after="0" w:line="265" w:lineRule="auto"/>
        <w:jc w:val="both"/>
        <w:rPr>
          <w:rFonts w:ascii="Times New Roman" w:hAnsi="Times New Roman" w:cs="Times New Roman"/>
          <w:sz w:val="24"/>
          <w:szCs w:val="24"/>
        </w:rPr>
      </w:pPr>
      <w:r w:rsidRPr="002F00B9">
        <w:rPr>
          <w:rFonts w:ascii="Times New Roman" w:hAnsi="Times New Roman" w:cs="Times New Roman"/>
          <w:sz w:val="24"/>
          <w:szCs w:val="24"/>
        </w:rPr>
        <w:t>Respecto de las concentraciones, la redacción legal debe incluir un examen ex ante y no ex post de las empresas que pretenden concentrarse.</w:t>
      </w:r>
    </w:p>
    <w:p w:rsidR="00CF4386" w:rsidRDefault="00CF4386" w:rsidP="00CF4386">
      <w:pPr>
        <w:widowControl w:val="0"/>
        <w:overflowPunct w:val="0"/>
        <w:autoSpaceDE w:val="0"/>
        <w:autoSpaceDN w:val="0"/>
        <w:adjustRightInd w:val="0"/>
        <w:spacing w:after="0" w:line="265" w:lineRule="auto"/>
        <w:ind w:left="360"/>
        <w:jc w:val="both"/>
        <w:rPr>
          <w:rFonts w:ascii="Times New Roman" w:hAnsi="Times New Roman" w:cs="Times New Roman"/>
          <w:sz w:val="24"/>
          <w:szCs w:val="24"/>
        </w:rPr>
      </w:pPr>
    </w:p>
    <w:p w:rsidR="00CF4386" w:rsidRPr="002F00B9" w:rsidRDefault="00CF4386" w:rsidP="00CF4386">
      <w:pPr>
        <w:pStyle w:val="Prrafodelista"/>
        <w:widowControl w:val="0"/>
        <w:numPr>
          <w:ilvl w:val="0"/>
          <w:numId w:val="5"/>
        </w:numPr>
        <w:overflowPunct w:val="0"/>
        <w:autoSpaceDE w:val="0"/>
        <w:autoSpaceDN w:val="0"/>
        <w:adjustRightInd w:val="0"/>
        <w:spacing w:after="0" w:line="265" w:lineRule="auto"/>
        <w:jc w:val="both"/>
        <w:rPr>
          <w:rFonts w:ascii="Times New Roman" w:hAnsi="Times New Roman" w:cs="Times New Roman"/>
          <w:sz w:val="24"/>
          <w:szCs w:val="24"/>
        </w:rPr>
      </w:pPr>
      <w:r w:rsidRPr="002F00B9">
        <w:rPr>
          <w:rFonts w:ascii="Times New Roman" w:hAnsi="Times New Roman" w:cs="Times New Roman"/>
          <w:sz w:val="24"/>
          <w:szCs w:val="24"/>
        </w:rPr>
        <w:t>Dentro de las facultades consultivas de la Superintendencia, se encuentra la emisión de la opinión sobre modificación de leyes específicas que atenten en contra del espíritu de la Ley de Competencia. La solicitud de opinión debe incluir la obligación de una respuesta de aceptación o de negación, motivada, por parte del solicitante.</w:t>
      </w:r>
    </w:p>
    <w:p w:rsidR="00CF4386" w:rsidRDefault="00CF4386" w:rsidP="00CF4386">
      <w:pPr>
        <w:widowControl w:val="0"/>
        <w:overflowPunct w:val="0"/>
        <w:autoSpaceDE w:val="0"/>
        <w:autoSpaceDN w:val="0"/>
        <w:adjustRightInd w:val="0"/>
        <w:spacing w:after="0" w:line="265" w:lineRule="auto"/>
        <w:ind w:left="360"/>
        <w:jc w:val="both"/>
        <w:rPr>
          <w:rFonts w:ascii="Times New Roman" w:hAnsi="Times New Roman" w:cs="Times New Roman"/>
          <w:sz w:val="24"/>
          <w:szCs w:val="24"/>
        </w:rPr>
      </w:pPr>
    </w:p>
    <w:p w:rsidR="00CF4386" w:rsidRPr="002F00B9" w:rsidRDefault="00CF4386" w:rsidP="00CF4386">
      <w:pPr>
        <w:pStyle w:val="Prrafodelista"/>
        <w:widowControl w:val="0"/>
        <w:numPr>
          <w:ilvl w:val="0"/>
          <w:numId w:val="5"/>
        </w:numPr>
        <w:overflowPunct w:val="0"/>
        <w:autoSpaceDE w:val="0"/>
        <w:autoSpaceDN w:val="0"/>
        <w:adjustRightInd w:val="0"/>
        <w:spacing w:after="0" w:line="265" w:lineRule="auto"/>
        <w:jc w:val="both"/>
        <w:rPr>
          <w:rFonts w:ascii="Times New Roman" w:hAnsi="Times New Roman" w:cs="Times New Roman"/>
          <w:sz w:val="24"/>
          <w:szCs w:val="24"/>
        </w:rPr>
      </w:pPr>
      <w:r w:rsidRPr="002F00B9">
        <w:rPr>
          <w:rFonts w:ascii="Times New Roman" w:hAnsi="Times New Roman" w:cs="Times New Roman"/>
          <w:sz w:val="24"/>
          <w:szCs w:val="24"/>
        </w:rPr>
        <w:t xml:space="preserve">Para el adecuado funcionamiento de la Superintendencia, es crucial separar las funciones del Directorio y del Superintendente, siendo el Directorio la unidad responsable de conocer los recursos legales interpuestos por los actores económicos investigados y la resolución de los casos, debiendo ser el Superintendente responsable exclusivo de dirigir el proceso completo de investigación y aplicación de sanciones de conformidad con la </w:t>
      </w:r>
      <w:r>
        <w:rPr>
          <w:rFonts w:ascii="Times New Roman" w:hAnsi="Times New Roman" w:cs="Times New Roman"/>
          <w:sz w:val="24"/>
          <w:szCs w:val="24"/>
        </w:rPr>
        <w:t>L</w:t>
      </w:r>
      <w:r w:rsidRPr="002F00B9">
        <w:rPr>
          <w:rFonts w:ascii="Times New Roman" w:hAnsi="Times New Roman" w:cs="Times New Roman"/>
          <w:sz w:val="24"/>
          <w:szCs w:val="24"/>
        </w:rPr>
        <w:t>ey.</w:t>
      </w:r>
    </w:p>
    <w:p w:rsidR="00CF4386" w:rsidRDefault="00CF4386" w:rsidP="00CF4386">
      <w:pPr>
        <w:widowControl w:val="0"/>
        <w:overflowPunct w:val="0"/>
        <w:autoSpaceDE w:val="0"/>
        <w:autoSpaceDN w:val="0"/>
        <w:adjustRightInd w:val="0"/>
        <w:spacing w:after="0" w:line="265" w:lineRule="auto"/>
        <w:ind w:left="360"/>
        <w:jc w:val="both"/>
        <w:rPr>
          <w:rFonts w:ascii="Times New Roman" w:hAnsi="Times New Roman" w:cs="Times New Roman"/>
          <w:sz w:val="24"/>
          <w:szCs w:val="24"/>
        </w:rPr>
      </w:pPr>
    </w:p>
    <w:p w:rsidR="00CF4386" w:rsidRPr="002F00B9" w:rsidRDefault="00CF4386" w:rsidP="00CF4386">
      <w:pPr>
        <w:pStyle w:val="Prrafodelista"/>
        <w:widowControl w:val="0"/>
        <w:numPr>
          <w:ilvl w:val="0"/>
          <w:numId w:val="5"/>
        </w:numPr>
        <w:overflowPunct w:val="0"/>
        <w:autoSpaceDE w:val="0"/>
        <w:autoSpaceDN w:val="0"/>
        <w:adjustRightInd w:val="0"/>
        <w:spacing w:after="0" w:line="265" w:lineRule="auto"/>
        <w:jc w:val="both"/>
        <w:rPr>
          <w:rFonts w:ascii="Times New Roman" w:hAnsi="Times New Roman" w:cs="Times New Roman"/>
          <w:sz w:val="24"/>
          <w:szCs w:val="24"/>
        </w:rPr>
      </w:pPr>
      <w:r w:rsidRPr="002F00B9">
        <w:rPr>
          <w:rFonts w:ascii="Times New Roman" w:hAnsi="Times New Roman" w:cs="Times New Roman"/>
          <w:sz w:val="24"/>
          <w:szCs w:val="24"/>
        </w:rPr>
        <w:t>La Superintendencia debe contar con un presupuesto adecuado independiente de multas y patrocinios privados.</w:t>
      </w:r>
    </w:p>
    <w:p w:rsidR="00CF4386" w:rsidRDefault="00CF4386" w:rsidP="00CF4386">
      <w:pPr>
        <w:pStyle w:val="Prrafodelista"/>
        <w:rPr>
          <w:rFonts w:ascii="Times New Roman" w:hAnsi="Times New Roman" w:cs="Times New Roman"/>
          <w:sz w:val="24"/>
          <w:szCs w:val="24"/>
        </w:rPr>
      </w:pPr>
    </w:p>
    <w:p w:rsidR="00CF4386" w:rsidRPr="002F00B9" w:rsidRDefault="00CF4386" w:rsidP="00CF4386">
      <w:pPr>
        <w:pStyle w:val="Prrafodelista"/>
        <w:widowControl w:val="0"/>
        <w:numPr>
          <w:ilvl w:val="0"/>
          <w:numId w:val="5"/>
        </w:numPr>
        <w:overflowPunct w:val="0"/>
        <w:autoSpaceDE w:val="0"/>
        <w:autoSpaceDN w:val="0"/>
        <w:adjustRightInd w:val="0"/>
        <w:spacing w:after="0" w:line="265" w:lineRule="auto"/>
        <w:jc w:val="both"/>
        <w:rPr>
          <w:rFonts w:ascii="Times New Roman" w:hAnsi="Times New Roman" w:cs="Times New Roman"/>
          <w:sz w:val="24"/>
          <w:szCs w:val="24"/>
        </w:rPr>
      </w:pPr>
      <w:r w:rsidRPr="002F00B9">
        <w:rPr>
          <w:rFonts w:ascii="Times New Roman" w:hAnsi="Times New Roman" w:cs="Times New Roman"/>
          <w:sz w:val="24"/>
          <w:szCs w:val="24"/>
        </w:rPr>
        <w:t>Se debe incluir un catálogo de infracciones, clasificadas según su gravedad (leve, grave, muy grave) y las sanciones correspondientes a la</w:t>
      </w:r>
      <w:r>
        <w:rPr>
          <w:rFonts w:ascii="Times New Roman" w:hAnsi="Times New Roman" w:cs="Times New Roman"/>
          <w:sz w:val="24"/>
          <w:szCs w:val="24"/>
        </w:rPr>
        <w:t>s</w:t>
      </w:r>
      <w:r w:rsidRPr="002F00B9">
        <w:rPr>
          <w:rFonts w:ascii="Times New Roman" w:hAnsi="Times New Roman" w:cs="Times New Roman"/>
          <w:sz w:val="24"/>
          <w:szCs w:val="24"/>
        </w:rPr>
        <w:t xml:space="preserve"> misma</w:t>
      </w:r>
      <w:r>
        <w:rPr>
          <w:rFonts w:ascii="Times New Roman" w:hAnsi="Times New Roman" w:cs="Times New Roman"/>
          <w:sz w:val="24"/>
          <w:szCs w:val="24"/>
        </w:rPr>
        <w:t>s</w:t>
      </w:r>
      <w:r w:rsidRPr="002F00B9">
        <w:rPr>
          <w:rFonts w:ascii="Times New Roman" w:hAnsi="Times New Roman" w:cs="Times New Roman"/>
          <w:sz w:val="24"/>
          <w:szCs w:val="24"/>
        </w:rPr>
        <w:t>.</w:t>
      </w:r>
    </w:p>
    <w:p w:rsidR="00CF4386" w:rsidRDefault="00CF4386" w:rsidP="00CF4386">
      <w:pPr>
        <w:ind w:left="3540"/>
        <w:jc w:val="both"/>
        <w:rPr>
          <w:rFonts w:ascii="Times New Roman" w:hAnsi="Times New Roman" w:cs="Times New Roman"/>
          <w:sz w:val="24"/>
          <w:szCs w:val="24"/>
        </w:rPr>
      </w:pPr>
    </w:p>
    <w:p w:rsidR="00CF4386" w:rsidRDefault="00CF4386" w:rsidP="00CF4386">
      <w:pPr>
        <w:ind w:left="4956" w:firstLine="708"/>
        <w:rPr>
          <w:rFonts w:ascii="Times New Roman" w:hAnsi="Times New Roman" w:cs="Times New Roman"/>
          <w:sz w:val="24"/>
          <w:szCs w:val="24"/>
        </w:rPr>
      </w:pPr>
    </w:p>
    <w:p w:rsidR="00CF4386" w:rsidRPr="00CF4386" w:rsidRDefault="00CF4386" w:rsidP="00CF4386"/>
    <w:sectPr w:rsidR="00CF4386" w:rsidRPr="00CF4386" w:rsidSect="002C5EA4">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77" w:rsidRDefault="00087577" w:rsidP="002C5EA4">
      <w:pPr>
        <w:spacing w:after="0" w:line="240" w:lineRule="auto"/>
      </w:pPr>
      <w:r>
        <w:separator/>
      </w:r>
    </w:p>
  </w:endnote>
  <w:endnote w:type="continuationSeparator" w:id="0">
    <w:p w:rsidR="00087577" w:rsidRDefault="00087577" w:rsidP="002C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A4" w:rsidRDefault="002C5EA4">
    <w:pPr>
      <w:pStyle w:val="Piedepgina"/>
    </w:pPr>
    <w:r w:rsidRPr="002C5EA4">
      <w:rPr>
        <w:noProof/>
        <w:lang w:eastAsia="es-GT"/>
      </w:rPr>
      <w:drawing>
        <wp:anchor distT="0" distB="0" distL="114300" distR="114300" simplePos="0" relativeHeight="251662336" behindDoc="0" locked="0" layoutInCell="1" allowOverlap="1" wp14:anchorId="1D0B1B8E" wp14:editId="4E2CD3A7">
          <wp:simplePos x="0" y="0"/>
          <wp:positionH relativeFrom="column">
            <wp:posOffset>4726940</wp:posOffset>
          </wp:positionH>
          <wp:positionV relativeFrom="paragraph">
            <wp:posOffset>-264160</wp:posOffset>
          </wp:positionV>
          <wp:extent cx="1351280" cy="614045"/>
          <wp:effectExtent l="0" t="0" r="1270" b="0"/>
          <wp:wrapSquare wrapText="bothSides"/>
          <wp:docPr id="3" name="Imagen 3" descr="C:\Users\bramos\AppData\Local\Microsoft\Windows\Temporary Internet Files\Content.Outlook\0PM4IF5K\logo vr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bramos\AppData\Local\Microsoft\Windows\Temporary Internet Files\Content.Outlook\0PM4IF5K\logo vrip-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614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77" w:rsidRDefault="00087577" w:rsidP="002C5EA4">
      <w:pPr>
        <w:spacing w:after="0" w:line="240" w:lineRule="auto"/>
      </w:pPr>
      <w:r>
        <w:separator/>
      </w:r>
    </w:p>
  </w:footnote>
  <w:footnote w:type="continuationSeparator" w:id="0">
    <w:p w:rsidR="00087577" w:rsidRDefault="00087577" w:rsidP="002C5EA4">
      <w:pPr>
        <w:spacing w:after="0" w:line="240" w:lineRule="auto"/>
      </w:pPr>
      <w:r>
        <w:continuationSeparator/>
      </w:r>
    </w:p>
  </w:footnote>
  <w:footnote w:id="1">
    <w:p w:rsidR="00CF4386" w:rsidRPr="00B75CD1" w:rsidRDefault="00CF4386" w:rsidP="00CF4386">
      <w:pPr>
        <w:pStyle w:val="Textonotapie"/>
        <w:jc w:val="both"/>
        <w:rPr>
          <w:rFonts w:ascii="Times New Roman" w:hAnsi="Times New Roman" w:cs="Times New Roman"/>
          <w:sz w:val="22"/>
          <w:szCs w:val="22"/>
          <w:vertAlign w:val="subscript"/>
        </w:rPr>
      </w:pPr>
      <w:r>
        <w:rPr>
          <w:rStyle w:val="Refdenotaalpie"/>
        </w:rPr>
        <w:footnoteRef/>
      </w:r>
      <w:r>
        <w:t xml:space="preserve"> </w:t>
      </w:r>
      <w:r w:rsidRPr="00B75CD1">
        <w:rPr>
          <w:rFonts w:ascii="Times New Roman" w:hAnsi="Times New Roman" w:cs="Times New Roman"/>
          <w:sz w:val="22"/>
          <w:szCs w:val="22"/>
        </w:rPr>
        <w:t xml:space="preserve">Tal y como se definen en la </w:t>
      </w:r>
      <w:r>
        <w:rPr>
          <w:rFonts w:ascii="Times New Roman" w:hAnsi="Times New Roman" w:cs="Times New Roman"/>
          <w:sz w:val="22"/>
          <w:szCs w:val="22"/>
        </w:rPr>
        <w:t>I</w:t>
      </w:r>
      <w:r w:rsidRPr="00B75CD1">
        <w:rPr>
          <w:rFonts w:ascii="Times New Roman" w:hAnsi="Times New Roman" w:cs="Times New Roman"/>
          <w:sz w:val="22"/>
          <w:szCs w:val="22"/>
        </w:rPr>
        <w:t>niciativa de ley, prácticas horizontales son las que se producen respecto de empresas que se encuentran en el mismo nivel del proceso productivo, y prácticas verticales cuando se producen respecto de empresas que se encuentran en diferentes eslabones de una misma cadena de valor.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86" w:rsidRPr="0009084B" w:rsidRDefault="0009084B" w:rsidP="002C5EA4">
    <w:pPr>
      <w:pStyle w:val="Sinespaciado"/>
      <w:jc w:val="right"/>
      <w:rPr>
        <w:rFonts w:ascii="Times New Roman" w:hAnsi="Times New Roman" w:cs="Times New Roman"/>
        <w:b/>
        <w:sz w:val="18"/>
        <w:szCs w:val="16"/>
      </w:rPr>
    </w:pPr>
    <w:r w:rsidRPr="0009084B">
      <w:rPr>
        <w:rFonts w:ascii="Times New Roman" w:hAnsi="Times New Roman" w:cs="Times New Roman"/>
        <w:b/>
        <w:noProof/>
        <w:sz w:val="18"/>
        <w:szCs w:val="16"/>
        <w:lang w:eastAsia="es-GT"/>
      </w:rPr>
      <w:drawing>
        <wp:anchor distT="0" distB="0" distL="114300" distR="114300" simplePos="0" relativeHeight="251659264" behindDoc="1" locked="0" layoutInCell="1" allowOverlap="1" wp14:anchorId="4A9B7C88" wp14:editId="4A05388F">
          <wp:simplePos x="0" y="0"/>
          <wp:positionH relativeFrom="column">
            <wp:posOffset>-386715</wp:posOffset>
          </wp:positionH>
          <wp:positionV relativeFrom="paragraph">
            <wp:posOffset>69850</wp:posOffset>
          </wp:positionV>
          <wp:extent cx="2300605" cy="850900"/>
          <wp:effectExtent l="0" t="0" r="4445" b="6350"/>
          <wp:wrapNone/>
          <wp:docPr id="1" name="Imagen 1" descr="Cintillo 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ntillo Arriba.jpg"/>
                  <pic:cNvPicPr>
                    <a:picLocks noChangeAspect="1" noChangeArrowheads="1"/>
                  </pic:cNvPicPr>
                </pic:nvPicPr>
                <pic:blipFill>
                  <a:blip r:embed="rId1">
                    <a:extLst>
                      <a:ext uri="{28A0092B-C50C-407E-A947-70E740481C1C}">
                        <a14:useLocalDpi xmlns:a14="http://schemas.microsoft.com/office/drawing/2010/main" val="0"/>
                      </a:ext>
                    </a:extLst>
                  </a:blip>
                  <a:srcRect r="68155"/>
                  <a:stretch>
                    <a:fillRect/>
                  </a:stretch>
                </pic:blipFill>
                <pic:spPr bwMode="auto">
                  <a:xfrm>
                    <a:off x="0" y="0"/>
                    <a:ext cx="230060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84B">
      <w:rPr>
        <w:rFonts w:ascii="Times New Roman" w:hAnsi="Times New Roman" w:cs="Times New Roman"/>
        <w:b/>
        <w:sz w:val="18"/>
        <w:szCs w:val="16"/>
      </w:rPr>
      <w:t>Vicerrectoría de Investigación y Proyección</w:t>
    </w:r>
  </w:p>
  <w:p w:rsidR="0009084B" w:rsidRPr="0009084B" w:rsidRDefault="0009084B" w:rsidP="002C5EA4">
    <w:pPr>
      <w:pStyle w:val="Sinespaciado"/>
      <w:jc w:val="right"/>
      <w:rPr>
        <w:rFonts w:ascii="Times New Roman" w:hAnsi="Times New Roman" w:cs="Times New Roman"/>
        <w:b/>
        <w:sz w:val="16"/>
        <w:szCs w:val="16"/>
      </w:rPr>
    </w:pPr>
    <w:r w:rsidRPr="0009084B">
      <w:rPr>
        <w:rFonts w:ascii="Times New Roman" w:hAnsi="Times New Roman" w:cs="Times New Roman"/>
        <w:b/>
        <w:sz w:val="16"/>
        <w:szCs w:val="16"/>
      </w:rPr>
      <w:t>Dirección de Incidencia Pública</w:t>
    </w:r>
  </w:p>
  <w:p w:rsidR="0009084B" w:rsidRPr="0009084B" w:rsidRDefault="0009084B" w:rsidP="0009084B">
    <w:pPr>
      <w:pStyle w:val="Default"/>
      <w:ind w:left="4956"/>
      <w:jc w:val="right"/>
      <w:rPr>
        <w:rFonts w:ascii="Times New Roman" w:hAnsi="Times New Roman" w:cs="Times New Roman"/>
        <w:b/>
        <w:bCs/>
        <w:sz w:val="16"/>
        <w:szCs w:val="16"/>
      </w:rPr>
    </w:pPr>
    <w:r w:rsidRPr="0009084B">
      <w:rPr>
        <w:rFonts w:ascii="Times New Roman" w:hAnsi="Times New Roman" w:cs="Times New Roman"/>
        <w:b/>
        <w:bCs/>
        <w:sz w:val="16"/>
        <w:szCs w:val="16"/>
      </w:rPr>
      <w:t xml:space="preserve">Instituto de Investigación y Proyección sobre Economía y Sociedad Plural (IDIES) </w:t>
    </w:r>
  </w:p>
  <w:p w:rsidR="0009084B" w:rsidRPr="0009084B" w:rsidRDefault="0009084B" w:rsidP="0009084B">
    <w:pPr>
      <w:pStyle w:val="Default"/>
      <w:ind w:left="4956"/>
      <w:jc w:val="right"/>
      <w:rPr>
        <w:rFonts w:ascii="Times New Roman" w:hAnsi="Times New Roman" w:cs="Times New Roman"/>
        <w:b/>
        <w:bCs/>
        <w:sz w:val="18"/>
        <w:szCs w:val="16"/>
      </w:rPr>
    </w:pPr>
    <w:r w:rsidRPr="0009084B">
      <w:rPr>
        <w:rFonts w:ascii="Times New Roman" w:hAnsi="Times New Roman" w:cs="Times New Roman"/>
        <w:b/>
        <w:bCs/>
        <w:sz w:val="18"/>
        <w:szCs w:val="16"/>
      </w:rPr>
      <w:t>Vicerrectoría Académica</w:t>
    </w:r>
  </w:p>
  <w:p w:rsidR="00CF4386" w:rsidRPr="0009084B" w:rsidRDefault="00CF4386" w:rsidP="00CF4386">
    <w:pPr>
      <w:pStyle w:val="Default"/>
      <w:jc w:val="right"/>
      <w:rPr>
        <w:rFonts w:ascii="Times New Roman" w:hAnsi="Times New Roman" w:cs="Times New Roman"/>
        <w:b/>
        <w:bCs/>
        <w:sz w:val="16"/>
        <w:szCs w:val="16"/>
      </w:rPr>
    </w:pPr>
    <w:r w:rsidRPr="0009084B">
      <w:rPr>
        <w:rFonts w:ascii="Times New Roman" w:hAnsi="Times New Roman" w:cs="Times New Roman"/>
        <w:b/>
        <w:bCs/>
        <w:sz w:val="16"/>
        <w:szCs w:val="16"/>
      </w:rPr>
      <w:t xml:space="preserve"> Facultad de Ciencias Económicas y Empresariales </w:t>
    </w:r>
  </w:p>
  <w:p w:rsidR="00CF4386" w:rsidRPr="0009084B" w:rsidRDefault="00CF4386" w:rsidP="00CF4386">
    <w:pPr>
      <w:pStyle w:val="Default"/>
      <w:ind w:left="4956"/>
      <w:jc w:val="right"/>
      <w:rPr>
        <w:rFonts w:ascii="Times New Roman" w:hAnsi="Times New Roman" w:cs="Times New Roman"/>
        <w:b/>
        <w:bCs/>
        <w:sz w:val="16"/>
        <w:szCs w:val="16"/>
      </w:rPr>
    </w:pPr>
    <w:r w:rsidRPr="0009084B">
      <w:rPr>
        <w:rFonts w:ascii="Times New Roman" w:hAnsi="Times New Roman" w:cs="Times New Roman"/>
        <w:b/>
        <w:bCs/>
        <w:sz w:val="16"/>
        <w:szCs w:val="16"/>
      </w:rPr>
      <w:t>Facultad de Ciencias Jurídicas y Sociales</w:t>
    </w:r>
  </w:p>
  <w:p w:rsidR="002C5EA4" w:rsidRPr="0009084B" w:rsidRDefault="002C5EA4" w:rsidP="00CF4386">
    <w:pPr>
      <w:pStyle w:val="Default"/>
      <w:ind w:left="4956" w:firstLine="708"/>
      <w:jc w:val="right"/>
      <w:rPr>
        <w:rFonts w:ascii="Times New Roman" w:hAnsi="Times New Roman" w:cs="Times New Roman"/>
        <w:sz w:val="16"/>
        <w:szCs w:val="16"/>
      </w:rPr>
    </w:pPr>
    <w:r w:rsidRPr="0009084B">
      <w:rPr>
        <w:rFonts w:ascii="Times New Roman" w:hAnsi="Times New Roman" w:cs="Times New Roman"/>
        <w:b/>
        <w:sz w:val="16"/>
        <w:szCs w:val="16"/>
      </w:rPr>
      <w:t>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795"/>
    <w:multiLevelType w:val="hybridMultilevel"/>
    <w:tmpl w:val="C0F0588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24CD7779"/>
    <w:multiLevelType w:val="multilevel"/>
    <w:tmpl w:val="E740466E"/>
    <w:lvl w:ilvl="0">
      <w:start w:val="1"/>
      <w:numFmt w:val="decimal"/>
      <w:lvlText w:val="%1."/>
      <w:lvlJc w:val="left"/>
      <w:pPr>
        <w:ind w:left="360" w:hanging="360"/>
      </w:pPr>
    </w:lvl>
    <w:lvl w:ilvl="1">
      <w:start w:val="1"/>
      <w:numFmt w:val="decimal"/>
      <w:isLgl/>
      <w:lvlText w:val="%1.%2."/>
      <w:lvlJc w:val="left"/>
      <w:pPr>
        <w:ind w:left="420" w:hanging="360"/>
      </w:pPr>
      <w:rPr>
        <w:rFonts w:hint="default"/>
        <w:b/>
      </w:rPr>
    </w:lvl>
    <w:lvl w:ilvl="2">
      <w:start w:val="1"/>
      <w:numFmt w:val="decimal"/>
      <w:isLgl/>
      <w:lvlText w:val="%1.%2.%3."/>
      <w:lvlJc w:val="left"/>
      <w:pPr>
        <w:ind w:left="84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32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80" w:hanging="1800"/>
      </w:pPr>
      <w:rPr>
        <w:rFonts w:hint="default"/>
        <w:b/>
      </w:rPr>
    </w:lvl>
  </w:abstractNum>
  <w:abstractNum w:abstractNumId="2">
    <w:nsid w:val="331E52D0"/>
    <w:multiLevelType w:val="hybridMultilevel"/>
    <w:tmpl w:val="54107FD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45407A77"/>
    <w:multiLevelType w:val="hybridMultilevel"/>
    <w:tmpl w:val="ABD2228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nsid w:val="49B017DB"/>
    <w:multiLevelType w:val="hybridMultilevel"/>
    <w:tmpl w:val="7D48D9AA"/>
    <w:lvl w:ilvl="0" w:tplc="100A0001">
      <w:start w:val="1"/>
      <w:numFmt w:val="bullet"/>
      <w:lvlText w:val=""/>
      <w:lvlJc w:val="left"/>
      <w:pPr>
        <w:ind w:left="784" w:hanging="360"/>
      </w:pPr>
      <w:rPr>
        <w:rFonts w:ascii="Symbol" w:hAnsi="Symbol" w:hint="default"/>
      </w:rPr>
    </w:lvl>
    <w:lvl w:ilvl="1" w:tplc="100A0003" w:tentative="1">
      <w:start w:val="1"/>
      <w:numFmt w:val="bullet"/>
      <w:lvlText w:val="o"/>
      <w:lvlJc w:val="left"/>
      <w:pPr>
        <w:ind w:left="1504" w:hanging="360"/>
      </w:pPr>
      <w:rPr>
        <w:rFonts w:ascii="Courier New" w:hAnsi="Courier New" w:cs="Courier New" w:hint="default"/>
      </w:rPr>
    </w:lvl>
    <w:lvl w:ilvl="2" w:tplc="100A0005" w:tentative="1">
      <w:start w:val="1"/>
      <w:numFmt w:val="bullet"/>
      <w:lvlText w:val=""/>
      <w:lvlJc w:val="left"/>
      <w:pPr>
        <w:ind w:left="2224" w:hanging="360"/>
      </w:pPr>
      <w:rPr>
        <w:rFonts w:ascii="Wingdings" w:hAnsi="Wingdings" w:hint="default"/>
      </w:rPr>
    </w:lvl>
    <w:lvl w:ilvl="3" w:tplc="100A0001" w:tentative="1">
      <w:start w:val="1"/>
      <w:numFmt w:val="bullet"/>
      <w:lvlText w:val=""/>
      <w:lvlJc w:val="left"/>
      <w:pPr>
        <w:ind w:left="2944" w:hanging="360"/>
      </w:pPr>
      <w:rPr>
        <w:rFonts w:ascii="Symbol" w:hAnsi="Symbol" w:hint="default"/>
      </w:rPr>
    </w:lvl>
    <w:lvl w:ilvl="4" w:tplc="100A0003" w:tentative="1">
      <w:start w:val="1"/>
      <w:numFmt w:val="bullet"/>
      <w:lvlText w:val="o"/>
      <w:lvlJc w:val="left"/>
      <w:pPr>
        <w:ind w:left="3664" w:hanging="360"/>
      </w:pPr>
      <w:rPr>
        <w:rFonts w:ascii="Courier New" w:hAnsi="Courier New" w:cs="Courier New" w:hint="default"/>
      </w:rPr>
    </w:lvl>
    <w:lvl w:ilvl="5" w:tplc="100A0005" w:tentative="1">
      <w:start w:val="1"/>
      <w:numFmt w:val="bullet"/>
      <w:lvlText w:val=""/>
      <w:lvlJc w:val="left"/>
      <w:pPr>
        <w:ind w:left="4384" w:hanging="360"/>
      </w:pPr>
      <w:rPr>
        <w:rFonts w:ascii="Wingdings" w:hAnsi="Wingdings" w:hint="default"/>
      </w:rPr>
    </w:lvl>
    <w:lvl w:ilvl="6" w:tplc="100A0001" w:tentative="1">
      <w:start w:val="1"/>
      <w:numFmt w:val="bullet"/>
      <w:lvlText w:val=""/>
      <w:lvlJc w:val="left"/>
      <w:pPr>
        <w:ind w:left="5104" w:hanging="360"/>
      </w:pPr>
      <w:rPr>
        <w:rFonts w:ascii="Symbol" w:hAnsi="Symbol" w:hint="default"/>
      </w:rPr>
    </w:lvl>
    <w:lvl w:ilvl="7" w:tplc="100A0003" w:tentative="1">
      <w:start w:val="1"/>
      <w:numFmt w:val="bullet"/>
      <w:lvlText w:val="o"/>
      <w:lvlJc w:val="left"/>
      <w:pPr>
        <w:ind w:left="5824" w:hanging="360"/>
      </w:pPr>
      <w:rPr>
        <w:rFonts w:ascii="Courier New" w:hAnsi="Courier New" w:cs="Courier New" w:hint="default"/>
      </w:rPr>
    </w:lvl>
    <w:lvl w:ilvl="8" w:tplc="100A0005" w:tentative="1">
      <w:start w:val="1"/>
      <w:numFmt w:val="bullet"/>
      <w:lvlText w:val=""/>
      <w:lvlJc w:val="left"/>
      <w:pPr>
        <w:ind w:left="6544" w:hanging="360"/>
      </w:pPr>
      <w:rPr>
        <w:rFonts w:ascii="Wingdings" w:hAnsi="Wingdings" w:hint="default"/>
      </w:rPr>
    </w:lvl>
  </w:abstractNum>
  <w:abstractNum w:abstractNumId="5">
    <w:nsid w:val="4BE55C18"/>
    <w:multiLevelType w:val="hybridMultilevel"/>
    <w:tmpl w:val="8E7CAB9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F7"/>
    <w:rsid w:val="00015225"/>
    <w:rsid w:val="00087577"/>
    <w:rsid w:val="0009084B"/>
    <w:rsid w:val="000C50E7"/>
    <w:rsid w:val="000E49F5"/>
    <w:rsid w:val="001401CF"/>
    <w:rsid w:val="00186712"/>
    <w:rsid w:val="001C5E86"/>
    <w:rsid w:val="001D6EC8"/>
    <w:rsid w:val="0025764E"/>
    <w:rsid w:val="002672D3"/>
    <w:rsid w:val="002B1CC3"/>
    <w:rsid w:val="002C5EA4"/>
    <w:rsid w:val="00365FBB"/>
    <w:rsid w:val="00373783"/>
    <w:rsid w:val="003975A9"/>
    <w:rsid w:val="003A0DBA"/>
    <w:rsid w:val="003E4D3D"/>
    <w:rsid w:val="00405780"/>
    <w:rsid w:val="00426D0D"/>
    <w:rsid w:val="00431DB2"/>
    <w:rsid w:val="00475762"/>
    <w:rsid w:val="00533B89"/>
    <w:rsid w:val="005712B2"/>
    <w:rsid w:val="005A164F"/>
    <w:rsid w:val="005A3597"/>
    <w:rsid w:val="006240D2"/>
    <w:rsid w:val="006738B2"/>
    <w:rsid w:val="00676297"/>
    <w:rsid w:val="00756801"/>
    <w:rsid w:val="00807155"/>
    <w:rsid w:val="00831025"/>
    <w:rsid w:val="00865A51"/>
    <w:rsid w:val="00876EA3"/>
    <w:rsid w:val="00884A77"/>
    <w:rsid w:val="00896940"/>
    <w:rsid w:val="008F2DF7"/>
    <w:rsid w:val="00914119"/>
    <w:rsid w:val="00956842"/>
    <w:rsid w:val="009908B9"/>
    <w:rsid w:val="009951DD"/>
    <w:rsid w:val="00A44E2E"/>
    <w:rsid w:val="00A601A0"/>
    <w:rsid w:val="00A61E4A"/>
    <w:rsid w:val="00A714DA"/>
    <w:rsid w:val="00A920B0"/>
    <w:rsid w:val="00A947D4"/>
    <w:rsid w:val="00AB26BD"/>
    <w:rsid w:val="00B6228B"/>
    <w:rsid w:val="00B81521"/>
    <w:rsid w:val="00C07F18"/>
    <w:rsid w:val="00C25F17"/>
    <w:rsid w:val="00CF4386"/>
    <w:rsid w:val="00D5592A"/>
    <w:rsid w:val="00DA1A20"/>
    <w:rsid w:val="00DC1CDE"/>
    <w:rsid w:val="00E2432A"/>
    <w:rsid w:val="00E53E2B"/>
    <w:rsid w:val="00EC1483"/>
    <w:rsid w:val="00F146E2"/>
    <w:rsid w:val="00F562D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764E"/>
    <w:pPr>
      <w:ind w:left="720"/>
      <w:contextualSpacing/>
    </w:pPr>
  </w:style>
  <w:style w:type="paragraph" w:styleId="Encabezado">
    <w:name w:val="header"/>
    <w:basedOn w:val="Normal"/>
    <w:link w:val="EncabezadoCar"/>
    <w:uiPriority w:val="99"/>
    <w:unhideWhenUsed/>
    <w:rsid w:val="002C5E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EA4"/>
  </w:style>
  <w:style w:type="paragraph" w:styleId="Piedepgina">
    <w:name w:val="footer"/>
    <w:basedOn w:val="Normal"/>
    <w:link w:val="PiedepginaCar"/>
    <w:uiPriority w:val="99"/>
    <w:unhideWhenUsed/>
    <w:rsid w:val="002C5E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EA4"/>
  </w:style>
  <w:style w:type="paragraph" w:styleId="Textonotapie">
    <w:name w:val="footnote text"/>
    <w:basedOn w:val="Normal"/>
    <w:link w:val="TextonotapieCar"/>
    <w:uiPriority w:val="99"/>
    <w:semiHidden/>
    <w:unhideWhenUsed/>
    <w:rsid w:val="002C5E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EA4"/>
    <w:rPr>
      <w:sz w:val="20"/>
      <w:szCs w:val="20"/>
    </w:rPr>
  </w:style>
  <w:style w:type="paragraph" w:styleId="Sinespaciado">
    <w:name w:val="No Spacing"/>
    <w:uiPriority w:val="1"/>
    <w:qFormat/>
    <w:rsid w:val="002C5EA4"/>
    <w:pPr>
      <w:spacing w:after="0" w:line="240" w:lineRule="auto"/>
    </w:pPr>
  </w:style>
  <w:style w:type="paragraph" w:customStyle="1" w:styleId="Cuerpodetexto">
    <w:name w:val="Cuerpo de texto"/>
    <w:basedOn w:val="Normal"/>
    <w:rsid w:val="00CF4386"/>
    <w:pPr>
      <w:widowControl w:val="0"/>
      <w:suppressAutoHyphens/>
      <w:spacing w:after="140" w:line="288" w:lineRule="auto"/>
    </w:pPr>
    <w:rPr>
      <w:rFonts w:ascii="Liberation Serif" w:eastAsia="Arial Unicode MS" w:hAnsi="Liberation Serif" w:cs="Arial Unicode MS"/>
      <w:sz w:val="24"/>
      <w:szCs w:val="24"/>
      <w:lang w:eastAsia="zh-CN" w:bidi="hi-IN"/>
    </w:rPr>
  </w:style>
  <w:style w:type="character" w:styleId="Refdenotaalpie">
    <w:name w:val="footnote reference"/>
    <w:basedOn w:val="Fuentedeprrafopredeter"/>
    <w:uiPriority w:val="99"/>
    <w:semiHidden/>
    <w:unhideWhenUsed/>
    <w:rsid w:val="00CF4386"/>
    <w:rPr>
      <w:vertAlign w:val="superscript"/>
    </w:rPr>
  </w:style>
  <w:style w:type="paragraph" w:customStyle="1" w:styleId="Default">
    <w:name w:val="Default"/>
    <w:rsid w:val="00CF4386"/>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F4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764E"/>
    <w:pPr>
      <w:ind w:left="720"/>
      <w:contextualSpacing/>
    </w:pPr>
  </w:style>
  <w:style w:type="paragraph" w:styleId="Encabezado">
    <w:name w:val="header"/>
    <w:basedOn w:val="Normal"/>
    <w:link w:val="EncabezadoCar"/>
    <w:uiPriority w:val="99"/>
    <w:unhideWhenUsed/>
    <w:rsid w:val="002C5E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EA4"/>
  </w:style>
  <w:style w:type="paragraph" w:styleId="Piedepgina">
    <w:name w:val="footer"/>
    <w:basedOn w:val="Normal"/>
    <w:link w:val="PiedepginaCar"/>
    <w:uiPriority w:val="99"/>
    <w:unhideWhenUsed/>
    <w:rsid w:val="002C5E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EA4"/>
  </w:style>
  <w:style w:type="paragraph" w:styleId="Textonotapie">
    <w:name w:val="footnote text"/>
    <w:basedOn w:val="Normal"/>
    <w:link w:val="TextonotapieCar"/>
    <w:uiPriority w:val="99"/>
    <w:semiHidden/>
    <w:unhideWhenUsed/>
    <w:rsid w:val="002C5E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EA4"/>
    <w:rPr>
      <w:sz w:val="20"/>
      <w:szCs w:val="20"/>
    </w:rPr>
  </w:style>
  <w:style w:type="paragraph" w:styleId="Sinespaciado">
    <w:name w:val="No Spacing"/>
    <w:uiPriority w:val="1"/>
    <w:qFormat/>
    <w:rsid w:val="002C5EA4"/>
    <w:pPr>
      <w:spacing w:after="0" w:line="240" w:lineRule="auto"/>
    </w:pPr>
  </w:style>
  <w:style w:type="paragraph" w:customStyle="1" w:styleId="Cuerpodetexto">
    <w:name w:val="Cuerpo de texto"/>
    <w:basedOn w:val="Normal"/>
    <w:rsid w:val="00CF4386"/>
    <w:pPr>
      <w:widowControl w:val="0"/>
      <w:suppressAutoHyphens/>
      <w:spacing w:after="140" w:line="288" w:lineRule="auto"/>
    </w:pPr>
    <w:rPr>
      <w:rFonts w:ascii="Liberation Serif" w:eastAsia="Arial Unicode MS" w:hAnsi="Liberation Serif" w:cs="Arial Unicode MS"/>
      <w:sz w:val="24"/>
      <w:szCs w:val="24"/>
      <w:lang w:eastAsia="zh-CN" w:bidi="hi-IN"/>
    </w:rPr>
  </w:style>
  <w:style w:type="character" w:styleId="Refdenotaalpie">
    <w:name w:val="footnote reference"/>
    <w:basedOn w:val="Fuentedeprrafopredeter"/>
    <w:uiPriority w:val="99"/>
    <w:semiHidden/>
    <w:unhideWhenUsed/>
    <w:rsid w:val="00CF4386"/>
    <w:rPr>
      <w:vertAlign w:val="superscript"/>
    </w:rPr>
  </w:style>
  <w:style w:type="paragraph" w:customStyle="1" w:styleId="Default">
    <w:name w:val="Default"/>
    <w:rsid w:val="00CF4386"/>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F4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1849</Words>
  <Characters>10170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Irasema Fernandez Roca</dc:creator>
  <cp:lastModifiedBy>Angélica María Isabel Del Cid Ruiz</cp:lastModifiedBy>
  <cp:revision>3</cp:revision>
  <cp:lastPrinted>2016-08-18T22:51:00Z</cp:lastPrinted>
  <dcterms:created xsi:type="dcterms:W3CDTF">2016-08-18T22:33:00Z</dcterms:created>
  <dcterms:modified xsi:type="dcterms:W3CDTF">2016-08-18T23:05:00Z</dcterms:modified>
</cp:coreProperties>
</file>